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2C3B" w14:textId="77777777" w:rsidR="00624AAA" w:rsidRDefault="00C46345">
      <w:pPr>
        <w:pStyle w:val="MDPI12title"/>
        <w:rPr>
          <w:lang w:eastAsia="zh-CN"/>
        </w:rPr>
      </w:pPr>
      <w:r>
        <w:rPr>
          <w:lang w:eastAsia="zh-CN"/>
        </w:rPr>
        <w:t>Strategic Resource Allocation for Sustainable Operation: A Machine Learning Approach for Chinese Enterprises Under Dual Economic Pressures</w:t>
      </w:r>
    </w:p>
    <w:p w14:paraId="72308D0D" w14:textId="77777777" w:rsidR="00624AAA" w:rsidRDefault="00C46345">
      <w:pPr>
        <w:jc w:val="center"/>
        <w:rPr>
          <w:rFonts w:ascii="Times New Roman" w:eastAsia="SimSun" w:hAnsi="Times New Roman"/>
          <w:b/>
          <w:sz w:val="24"/>
        </w:rPr>
      </w:pPr>
      <w:proofErr w:type="spellStart"/>
      <w:r>
        <w:rPr>
          <w:rFonts w:ascii="Times New Roman" w:eastAsia="SimSun" w:hAnsi="Times New Roman" w:hint="eastAsia"/>
          <w:b/>
          <w:sz w:val="24"/>
        </w:rPr>
        <w:t>Shiying</w:t>
      </w:r>
      <w:proofErr w:type="spellEnd"/>
      <w:r>
        <w:rPr>
          <w:rFonts w:ascii="Times New Roman" w:eastAsia="SimSun" w:hAnsi="Times New Roman" w:hint="eastAsia"/>
          <w:b/>
          <w:sz w:val="24"/>
        </w:rPr>
        <w:t xml:space="preserve"> Zhang</w:t>
      </w:r>
      <w:proofErr w:type="gramStart"/>
      <w:r>
        <w:rPr>
          <w:rFonts w:ascii="Times New Roman" w:eastAsia="SimSun" w:hAnsi="Times New Roman" w:hint="eastAsia"/>
          <w:b/>
          <w:sz w:val="24"/>
          <w:vertAlign w:val="superscript"/>
        </w:rPr>
        <w:t>1,</w:t>
      </w:r>
      <w:r>
        <w:rPr>
          <w:rFonts w:ascii="Times New Roman" w:eastAsia="SimSun" w:hAnsi="Times New Roman" w:hint="eastAsia"/>
          <w:b/>
          <w:sz w:val="24"/>
          <w:vertAlign w:val="superscript"/>
        </w:rPr>
        <w:t>a</w:t>
      </w:r>
      <w:proofErr w:type="gramEnd"/>
      <w:r>
        <w:rPr>
          <w:rFonts w:ascii="Times New Roman" w:eastAsia="SimSun" w:hAnsi="Times New Roman" w:hint="eastAsia"/>
          <w:b/>
          <w:sz w:val="24"/>
        </w:rPr>
        <w:t>, Hui Wang</w:t>
      </w:r>
      <w:r>
        <w:rPr>
          <w:rFonts w:ascii="Times New Roman" w:eastAsia="SimSun" w:hAnsi="Times New Roman" w:hint="eastAsia"/>
          <w:b/>
          <w:sz w:val="24"/>
          <w:vertAlign w:val="superscript"/>
        </w:rPr>
        <w:t>2</w:t>
      </w:r>
      <w:r>
        <w:rPr>
          <w:rFonts w:ascii="Times New Roman" w:eastAsia="SimSun" w:hAnsi="Times New Roman"/>
          <w:b/>
          <w:sz w:val="24"/>
          <w:vertAlign w:val="superscript"/>
        </w:rPr>
        <w:t>,</w:t>
      </w:r>
      <w:r>
        <w:rPr>
          <w:rFonts w:ascii="Times New Roman" w:eastAsia="SimSun" w:hAnsi="Times New Roman" w:hint="eastAsia"/>
          <w:b/>
          <w:sz w:val="24"/>
          <w:vertAlign w:val="superscript"/>
        </w:rPr>
        <w:t>b</w:t>
      </w:r>
      <w:r>
        <w:rPr>
          <w:rFonts w:ascii="Times New Roman" w:eastAsia="SimSun" w:hAnsi="Times New Roman"/>
          <w:b/>
          <w:sz w:val="24"/>
        </w:rPr>
        <w:t xml:space="preserve">, </w:t>
      </w:r>
      <w:proofErr w:type="spellStart"/>
      <w:r>
        <w:rPr>
          <w:rFonts w:ascii="Times New Roman" w:eastAsia="SimSun" w:hAnsi="Times New Roman" w:hint="eastAsia"/>
          <w:b/>
          <w:sz w:val="24"/>
        </w:rPr>
        <w:t>Yanhong</w:t>
      </w:r>
      <w:proofErr w:type="spellEnd"/>
      <w:r>
        <w:rPr>
          <w:rFonts w:ascii="Times New Roman" w:eastAsia="SimSun" w:hAnsi="Times New Roman" w:hint="eastAsia"/>
          <w:b/>
          <w:sz w:val="24"/>
        </w:rPr>
        <w:t xml:space="preserve"> Lu</w:t>
      </w:r>
      <w:r>
        <w:rPr>
          <w:rFonts w:ascii="Times New Roman" w:eastAsia="SimSun" w:hAnsi="Times New Roman"/>
          <w:b/>
          <w:sz w:val="24"/>
          <w:vertAlign w:val="superscript"/>
        </w:rPr>
        <w:t>3,c</w:t>
      </w:r>
      <w:r>
        <w:rPr>
          <w:rFonts w:ascii="Times New Roman" w:eastAsia="SimSun" w:hAnsi="Times New Roman"/>
          <w:b/>
          <w:sz w:val="24"/>
        </w:rPr>
        <w:t xml:space="preserve">, </w:t>
      </w:r>
      <w:proofErr w:type="spellStart"/>
      <w:r>
        <w:rPr>
          <w:rFonts w:ascii="Times New Roman" w:eastAsia="SimSun" w:hAnsi="Times New Roman" w:hint="eastAsia"/>
          <w:b/>
          <w:sz w:val="24"/>
        </w:rPr>
        <w:t>Haoxin</w:t>
      </w:r>
      <w:proofErr w:type="spellEnd"/>
      <w:r>
        <w:rPr>
          <w:rFonts w:ascii="Times New Roman" w:eastAsia="SimSun" w:hAnsi="Times New Roman" w:hint="eastAsia"/>
          <w:b/>
          <w:sz w:val="24"/>
        </w:rPr>
        <w:t xml:space="preserve"> Xiu</w:t>
      </w:r>
      <w:r>
        <w:rPr>
          <w:rFonts w:ascii="Times New Roman" w:eastAsia="SimSun" w:hAnsi="Times New Roman"/>
          <w:b/>
          <w:sz w:val="24"/>
          <w:vertAlign w:val="superscript"/>
        </w:rPr>
        <w:t>4,d,</w:t>
      </w:r>
      <w:r>
        <w:rPr>
          <w:rFonts w:ascii="Times New Roman" w:eastAsia="SimSun" w:hAnsi="Times New Roman" w:hint="eastAsia"/>
          <w:b/>
          <w:sz w:val="24"/>
          <w:vertAlign w:val="superscript"/>
        </w:rPr>
        <w:t>*</w:t>
      </w:r>
    </w:p>
    <w:p w14:paraId="4BA01FB6" w14:textId="77777777" w:rsidR="00624AAA" w:rsidRDefault="00624AAA">
      <w:pPr>
        <w:jc w:val="center"/>
        <w:rPr>
          <w:rFonts w:ascii="Times New Roman" w:eastAsia="SimSun" w:hAnsi="Times New Roman" w:cs="Times New Roman"/>
          <w:i/>
          <w:sz w:val="24"/>
          <w:lang w:val="ru-RU"/>
        </w:rPr>
      </w:pPr>
    </w:p>
    <w:p w14:paraId="58ED69D9" w14:textId="77777777" w:rsidR="00624AAA" w:rsidRDefault="00C46345">
      <w:pPr>
        <w:jc w:val="center"/>
        <w:rPr>
          <w:rFonts w:ascii="Times New Roman" w:eastAsia="SimSun" w:hAnsi="Times New Roman" w:cs="Times New Roman"/>
          <w:i/>
          <w:sz w:val="24"/>
        </w:rPr>
      </w:pPr>
      <w:r>
        <w:rPr>
          <w:rFonts w:ascii="Times New Roman" w:eastAsia="SimSun" w:hAnsi="Times New Roman" w:cs="Times New Roman" w:hint="eastAsia"/>
          <w:i/>
          <w:sz w:val="24"/>
          <w:vertAlign w:val="superscript"/>
        </w:rPr>
        <w:t>1</w:t>
      </w:r>
      <w:r>
        <w:rPr>
          <w:rFonts w:ascii="Times New Roman" w:eastAsia="SimSun" w:hAnsi="Times New Roman" w:cs="Times New Roman" w:hint="eastAsia"/>
          <w:i/>
          <w:sz w:val="24"/>
        </w:rPr>
        <w:t>Business School of Nankai University</w:t>
      </w:r>
      <w:r>
        <w:rPr>
          <w:rFonts w:ascii="Times New Roman" w:eastAsia="SimSun" w:hAnsi="Times New Roman" w:cs="Times New Roman"/>
          <w:i/>
          <w:sz w:val="24"/>
        </w:rPr>
        <w:t xml:space="preserve">, </w:t>
      </w:r>
      <w:r>
        <w:rPr>
          <w:rFonts w:ascii="Times New Roman" w:eastAsia="SimSun" w:hAnsi="Times New Roman" w:cs="Times New Roman" w:hint="eastAsia"/>
          <w:i/>
          <w:sz w:val="24"/>
        </w:rPr>
        <w:t>Tianjin</w:t>
      </w:r>
      <w:r>
        <w:rPr>
          <w:rFonts w:ascii="Times New Roman" w:eastAsia="SimSun" w:hAnsi="Times New Roman" w:cs="Times New Roman"/>
          <w:i/>
          <w:sz w:val="24"/>
        </w:rPr>
        <w:t xml:space="preserve">, </w:t>
      </w:r>
      <w:r>
        <w:rPr>
          <w:rFonts w:ascii="Times New Roman" w:eastAsia="SimSun" w:hAnsi="Times New Roman" w:cs="Times New Roman" w:hint="eastAsia"/>
          <w:i/>
          <w:sz w:val="24"/>
        </w:rPr>
        <w:t>300071, Tianjin, China;</w:t>
      </w:r>
    </w:p>
    <w:p w14:paraId="270296C8" w14:textId="77777777" w:rsidR="00624AAA" w:rsidRDefault="00C46345">
      <w:pPr>
        <w:jc w:val="center"/>
        <w:rPr>
          <w:rFonts w:ascii="Times New Roman" w:eastAsia="SimSun" w:hAnsi="Times New Roman" w:cs="Times New Roman"/>
          <w:i/>
          <w:sz w:val="24"/>
        </w:rPr>
      </w:pPr>
      <w:r>
        <w:rPr>
          <w:rFonts w:ascii="Times New Roman" w:eastAsia="SimSun" w:hAnsi="Times New Roman" w:cs="Times New Roman"/>
          <w:i/>
          <w:sz w:val="24"/>
          <w:vertAlign w:val="superscript"/>
        </w:rPr>
        <w:t>2</w:t>
      </w:r>
      <w:r>
        <w:rPr>
          <w:rFonts w:ascii="Times New Roman" w:eastAsia="SimSun" w:hAnsi="Times New Roman" w:cs="Times New Roman"/>
          <w:i/>
          <w:sz w:val="24"/>
        </w:rPr>
        <w:t>Institute of Economics, Shandong Academy of Social Sciences, Jinan, 250002,</w:t>
      </w:r>
      <w:r>
        <w:rPr>
          <w:rFonts w:ascii="Times New Roman" w:eastAsia="SimSun" w:hAnsi="Times New Roman" w:cs="Times New Roman" w:hint="eastAsia"/>
          <w:i/>
          <w:sz w:val="24"/>
        </w:rPr>
        <w:t xml:space="preserve"> </w:t>
      </w:r>
      <w:r>
        <w:rPr>
          <w:rFonts w:ascii="Times New Roman" w:eastAsia="SimSun" w:hAnsi="Times New Roman" w:cs="Times New Roman"/>
          <w:i/>
          <w:sz w:val="24"/>
        </w:rPr>
        <w:t>Shandong, China</w:t>
      </w:r>
    </w:p>
    <w:p w14:paraId="295F2E2E" w14:textId="77777777" w:rsidR="00624AAA" w:rsidRDefault="00C46345">
      <w:pPr>
        <w:jc w:val="center"/>
        <w:rPr>
          <w:rFonts w:ascii="Times New Roman" w:eastAsia="SimSun" w:hAnsi="Times New Roman" w:cs="Times New Roman"/>
          <w:i/>
          <w:sz w:val="24"/>
        </w:rPr>
      </w:pPr>
      <w:r>
        <w:rPr>
          <w:rFonts w:ascii="Times New Roman" w:eastAsia="SimSun" w:hAnsi="Times New Roman" w:cs="Times New Roman"/>
          <w:i/>
          <w:sz w:val="24"/>
          <w:vertAlign w:val="superscript"/>
        </w:rPr>
        <w:t>3</w:t>
      </w:r>
      <w:r>
        <w:rPr>
          <w:rFonts w:ascii="Times New Roman" w:eastAsia="SimSun" w:hAnsi="Times New Roman" w:cs="Times New Roman"/>
          <w:i/>
          <w:sz w:val="24"/>
        </w:rPr>
        <w:t xml:space="preserve">School of Economics and Management, Hebei University of </w:t>
      </w:r>
      <w:proofErr w:type="spellStart"/>
      <w:proofErr w:type="gramStart"/>
      <w:r>
        <w:rPr>
          <w:rFonts w:ascii="Times New Roman" w:eastAsia="SimSun" w:hAnsi="Times New Roman" w:cs="Times New Roman"/>
          <w:i/>
          <w:sz w:val="24"/>
        </w:rPr>
        <w:t>Technology,</w:t>
      </w:r>
      <w:r>
        <w:rPr>
          <w:rFonts w:ascii="Times New Roman" w:eastAsia="SimSun" w:hAnsi="Times New Roman" w:cs="Times New Roman" w:hint="eastAsia"/>
          <w:i/>
          <w:sz w:val="24"/>
        </w:rPr>
        <w:t>Tianjin</w:t>
      </w:r>
      <w:proofErr w:type="spellEnd"/>
      <w:proofErr w:type="gramEnd"/>
      <w:r>
        <w:rPr>
          <w:rFonts w:ascii="Times New Roman" w:eastAsia="SimSun" w:hAnsi="Times New Roman" w:cs="Times New Roman"/>
          <w:i/>
          <w:sz w:val="24"/>
        </w:rPr>
        <w:t>, 300401 ,</w:t>
      </w:r>
      <w:proofErr w:type="spellStart"/>
      <w:r>
        <w:rPr>
          <w:rFonts w:ascii="Times New Roman" w:eastAsia="SimSun" w:hAnsi="Times New Roman" w:cs="Times New Roman"/>
          <w:i/>
          <w:sz w:val="24"/>
        </w:rPr>
        <w:t>Tianjin,China</w:t>
      </w:r>
      <w:proofErr w:type="spellEnd"/>
    </w:p>
    <w:p w14:paraId="437B650A" w14:textId="77777777" w:rsidR="00624AAA" w:rsidRDefault="00C46345">
      <w:pPr>
        <w:jc w:val="center"/>
        <w:rPr>
          <w:rFonts w:ascii="Times New Roman" w:eastAsia="SimSun" w:hAnsi="Times New Roman" w:cs="Times New Roman"/>
          <w:i/>
          <w:sz w:val="24"/>
        </w:rPr>
      </w:pPr>
      <w:r>
        <w:rPr>
          <w:rFonts w:ascii="Times New Roman" w:eastAsia="SimSun" w:hAnsi="Times New Roman" w:cs="Times New Roman"/>
          <w:i/>
          <w:sz w:val="24"/>
          <w:vertAlign w:val="superscript"/>
        </w:rPr>
        <w:t>4</w:t>
      </w:r>
      <w:r>
        <w:rPr>
          <w:rFonts w:ascii="Times New Roman" w:eastAsia="SimSun" w:hAnsi="Times New Roman" w:cs="Times New Roman"/>
          <w:i/>
          <w:sz w:val="24"/>
        </w:rPr>
        <w:t xml:space="preserve">Qingdao Hospital, University of Health </w:t>
      </w:r>
      <w:r>
        <w:rPr>
          <w:rFonts w:ascii="Times New Roman" w:eastAsia="SimSun" w:hAnsi="Times New Roman" w:cs="Times New Roman"/>
          <w:i/>
          <w:sz w:val="24"/>
        </w:rPr>
        <w:t>and Rehabilitation Sciences</w:t>
      </w:r>
      <w:r>
        <w:rPr>
          <w:rFonts w:ascii="Times New Roman" w:eastAsia="SimSun" w:hAnsi="Times New Roman" w:cs="Times New Roman"/>
          <w:i/>
          <w:sz w:val="24"/>
        </w:rPr>
        <w:t>（</w:t>
      </w:r>
      <w:r>
        <w:rPr>
          <w:rFonts w:ascii="Times New Roman" w:eastAsia="SimSun" w:hAnsi="Times New Roman" w:cs="Times New Roman"/>
          <w:i/>
          <w:sz w:val="24"/>
        </w:rPr>
        <w:t>Qingdao Municipal Hospital), Qingdao, 266011,</w:t>
      </w:r>
      <w:r>
        <w:rPr>
          <w:rFonts w:ascii="Times New Roman" w:eastAsia="SimSun" w:hAnsi="Times New Roman" w:cs="Times New Roman" w:hint="eastAsia"/>
          <w:i/>
          <w:sz w:val="24"/>
        </w:rPr>
        <w:t xml:space="preserve"> </w:t>
      </w:r>
      <w:r>
        <w:rPr>
          <w:rFonts w:ascii="Times New Roman" w:eastAsia="SimSun" w:hAnsi="Times New Roman" w:cs="Times New Roman"/>
          <w:i/>
          <w:sz w:val="24"/>
        </w:rPr>
        <w:t xml:space="preserve">Shandong, China </w:t>
      </w:r>
    </w:p>
    <w:p w14:paraId="6FE011AA" w14:textId="77777777" w:rsidR="00624AAA" w:rsidRDefault="00C46345">
      <w:pPr>
        <w:jc w:val="center"/>
        <w:rPr>
          <w:rFonts w:ascii="Times New Roman" w:eastAsia="SimSun" w:hAnsi="Times New Roman"/>
          <w:i/>
          <w:sz w:val="24"/>
          <w:lang w:val="ru-RU"/>
        </w:rPr>
      </w:pPr>
      <w:proofErr w:type="spellStart"/>
      <w:r>
        <w:rPr>
          <w:rFonts w:ascii="Times New Roman" w:eastAsia="SimSun" w:hAnsi="Times New Roman" w:hint="eastAsia"/>
          <w:i/>
          <w:iCs/>
          <w:sz w:val="24"/>
          <w:vertAlign w:val="superscript"/>
        </w:rPr>
        <w:t>a</w:t>
      </w:r>
      <w:r>
        <w:rPr>
          <w:rFonts w:ascii="Times New Roman" w:eastAsia="SimSun" w:hAnsi="Times New Roman" w:hint="eastAsia"/>
          <w:i/>
          <w:iCs/>
          <w:sz w:val="24"/>
        </w:rPr>
        <w:t>Email</w:t>
      </w:r>
      <w:proofErr w:type="spellEnd"/>
      <w:r>
        <w:rPr>
          <w:rFonts w:ascii="Times New Roman" w:eastAsia="SimSun" w:hAnsi="Times New Roman"/>
          <w:i/>
          <w:iCs/>
          <w:sz w:val="24"/>
        </w:rPr>
        <w:t>:</w:t>
      </w:r>
      <w:r>
        <w:rPr>
          <w:rFonts w:ascii="Times New Roman" w:eastAsia="SimSun" w:hAnsi="Times New Roman" w:hint="eastAsia"/>
          <w:i/>
          <w:iCs/>
          <w:sz w:val="24"/>
        </w:rPr>
        <w:t xml:space="preserve"> shiying.zhang@mail.nankai.edu.cn</w:t>
      </w:r>
    </w:p>
    <w:p w14:paraId="02128938" w14:textId="77777777" w:rsidR="00624AAA" w:rsidRDefault="00C46345">
      <w:pPr>
        <w:jc w:val="center"/>
        <w:rPr>
          <w:rFonts w:ascii="Times New Roman" w:eastAsia="SimSun" w:hAnsi="Times New Roman"/>
          <w:i/>
          <w:sz w:val="24"/>
          <w:lang w:val="ru-RU"/>
        </w:rPr>
      </w:pPr>
      <w:r>
        <w:rPr>
          <w:rFonts w:ascii="Times New Roman" w:eastAsia="SimSun" w:hAnsi="Times New Roman" w:hint="eastAsia"/>
          <w:i/>
          <w:sz w:val="24"/>
          <w:vertAlign w:val="superscript"/>
          <w:lang w:val="ru-RU"/>
        </w:rPr>
        <w:t>b</w:t>
      </w:r>
      <w:r>
        <w:rPr>
          <w:rFonts w:ascii="Times New Roman" w:eastAsia="SimSun" w:hAnsi="Times New Roman" w:hint="eastAsia"/>
          <w:i/>
          <w:iCs/>
          <w:sz w:val="24"/>
        </w:rPr>
        <w:t>Email</w:t>
      </w:r>
      <w:r>
        <w:rPr>
          <w:rFonts w:ascii="Times New Roman" w:eastAsia="SimSun" w:hAnsi="Times New Roman"/>
          <w:i/>
          <w:iCs/>
          <w:sz w:val="24"/>
        </w:rPr>
        <w:t>:</w:t>
      </w:r>
      <w:r>
        <w:rPr>
          <w:rFonts w:ascii="Times New Roman" w:eastAsia="SimSun" w:hAnsi="Times New Roman" w:hint="eastAsia"/>
          <w:i/>
          <w:iCs/>
          <w:sz w:val="24"/>
        </w:rPr>
        <w:t xml:space="preserve"> ouc_wanghui@163.com</w:t>
      </w:r>
    </w:p>
    <w:p w14:paraId="1C26D089" w14:textId="77777777" w:rsidR="00624AAA" w:rsidRDefault="00C46345">
      <w:pPr>
        <w:jc w:val="center"/>
        <w:rPr>
          <w:rFonts w:ascii="Times New Roman" w:eastAsia="SimSun" w:hAnsi="Times New Roman"/>
          <w:i/>
          <w:sz w:val="24"/>
          <w:lang w:val="ru-RU"/>
        </w:rPr>
      </w:pPr>
      <w:r>
        <w:rPr>
          <w:rFonts w:ascii="Times New Roman" w:eastAsia="SimSun" w:hAnsi="Times New Roman" w:cs="Times New Roman" w:hint="eastAsia"/>
          <w:i/>
          <w:sz w:val="24"/>
          <w:vertAlign w:val="superscript"/>
          <w:lang w:val="ru-RU"/>
        </w:rPr>
        <w:t>c</w:t>
      </w:r>
      <w:r>
        <w:rPr>
          <w:rFonts w:ascii="Times New Roman" w:eastAsia="SimSun" w:hAnsi="Times New Roman" w:hint="eastAsia"/>
          <w:i/>
          <w:iCs/>
          <w:sz w:val="24"/>
        </w:rPr>
        <w:t>Email</w:t>
      </w:r>
      <w:r>
        <w:rPr>
          <w:rFonts w:ascii="Times New Roman" w:eastAsia="SimSun" w:hAnsi="Times New Roman"/>
          <w:i/>
          <w:iCs/>
          <w:sz w:val="24"/>
        </w:rPr>
        <w:t>:</w:t>
      </w:r>
      <w:r>
        <w:rPr>
          <w:rFonts w:ascii="Times New Roman" w:eastAsia="SimSun" w:hAnsi="Times New Roman" w:hint="eastAsia"/>
          <w:i/>
          <w:iCs/>
          <w:sz w:val="24"/>
        </w:rPr>
        <w:t xml:space="preserve"> luyanhong2015@163.com</w:t>
      </w:r>
    </w:p>
    <w:p w14:paraId="181ACB2D" w14:textId="77777777" w:rsidR="00624AAA" w:rsidRDefault="00C46345">
      <w:pPr>
        <w:jc w:val="center"/>
        <w:rPr>
          <w:rFonts w:ascii="Times New Roman" w:eastAsia="SimSun" w:hAnsi="Times New Roman"/>
          <w:i/>
          <w:iCs/>
          <w:sz w:val="24"/>
        </w:rPr>
      </w:pPr>
      <w:proofErr w:type="spellStart"/>
      <w:r>
        <w:rPr>
          <w:rFonts w:ascii="Times New Roman" w:eastAsia="SimSun" w:hAnsi="Times New Roman"/>
          <w:i/>
          <w:iCs/>
          <w:sz w:val="24"/>
          <w:vertAlign w:val="superscript"/>
        </w:rPr>
        <w:t>d</w:t>
      </w:r>
      <w:r>
        <w:rPr>
          <w:rFonts w:ascii="Times New Roman" w:eastAsia="SimSun" w:hAnsi="Times New Roman" w:hint="eastAsia"/>
          <w:i/>
          <w:iCs/>
          <w:sz w:val="24"/>
        </w:rPr>
        <w:t>Email</w:t>
      </w:r>
      <w:proofErr w:type="spellEnd"/>
      <w:r>
        <w:rPr>
          <w:rFonts w:ascii="Times New Roman" w:eastAsia="SimSun" w:hAnsi="Times New Roman"/>
          <w:i/>
          <w:iCs/>
          <w:sz w:val="24"/>
        </w:rPr>
        <w:t>:</w:t>
      </w:r>
      <w:r>
        <w:rPr>
          <w:rFonts w:ascii="Times New Roman" w:eastAsia="SimSun" w:hAnsi="Times New Roman" w:hint="eastAsia"/>
          <w:i/>
          <w:iCs/>
          <w:sz w:val="24"/>
        </w:rPr>
        <w:t xml:space="preserve"> </w:t>
      </w:r>
      <w:hyperlink r:id="rId5" w:history="1">
        <w:r>
          <w:rPr>
            <w:rStyle w:val="Hyperlink"/>
            <w:rFonts w:ascii="Times New Roman" w:eastAsia="SimSun" w:hAnsi="Times New Roman" w:hint="eastAsia"/>
            <w:i/>
            <w:iCs/>
            <w:sz w:val="24"/>
          </w:rPr>
          <w:t>xhx19931011@163.com</w:t>
        </w:r>
      </w:hyperlink>
    </w:p>
    <w:p w14:paraId="56F138B1" w14:textId="77777777" w:rsidR="00624AAA" w:rsidRDefault="00C46345">
      <w:pPr>
        <w:jc w:val="center"/>
        <w:rPr>
          <w:rFonts w:ascii="Times New Roman" w:eastAsia="SimSun" w:hAnsi="Times New Roman"/>
          <w:i/>
          <w:iCs/>
          <w:sz w:val="24"/>
          <w:lang w:val="ru-RU"/>
        </w:rPr>
      </w:pPr>
      <w:r>
        <w:rPr>
          <w:rFonts w:ascii="Times New Roman" w:eastAsia="SimSun" w:hAnsi="Times New Roman"/>
          <w:i/>
          <w:iCs/>
          <w:sz w:val="24"/>
        </w:rPr>
        <w:t>*</w:t>
      </w:r>
      <w:r>
        <w:rPr>
          <w:rFonts w:ascii="Times New Roman" w:eastAsia="SimSun" w:hAnsi="Times New Roman" w:hint="eastAsia"/>
          <w:i/>
          <w:iCs/>
          <w:sz w:val="24"/>
          <w:lang w:val="ru-RU"/>
        </w:rPr>
        <w:t>Corresponding Author</w:t>
      </w:r>
    </w:p>
    <w:p w14:paraId="7F18B2BE" w14:textId="77777777" w:rsidR="00624AAA" w:rsidRDefault="00624AAA"/>
    <w:p w14:paraId="718E180F" w14:textId="77777777" w:rsidR="00624AAA" w:rsidRDefault="00624AAA"/>
    <w:p w14:paraId="733DED29" w14:textId="77777777" w:rsidR="00624AAA" w:rsidRDefault="00C46345">
      <w:pPr>
        <w:spacing w:line="360" w:lineRule="auto"/>
        <w:rPr>
          <w:rFonts w:ascii="Palatino Linotype" w:eastAsia="Times New Roman" w:hAnsi="Palatino Linotype" w:cs="Times New Roman"/>
          <w:b/>
          <w:color w:val="000000"/>
          <w:kern w:val="0"/>
          <w:sz w:val="20"/>
          <w:szCs w:val="22"/>
          <w:lang w:bidi="en-US"/>
        </w:rPr>
      </w:pPr>
      <w:r>
        <w:rPr>
          <w:rFonts w:ascii="Palatino Linotype" w:eastAsia="Times New Roman" w:hAnsi="Palatino Linotype" w:cs="Times New Roman"/>
          <w:b/>
          <w:color w:val="000000"/>
          <w:kern w:val="0"/>
          <w:sz w:val="20"/>
          <w:szCs w:val="22"/>
          <w:lang w:bidi="en-US"/>
        </w:rPr>
        <w:t>Abstract</w:t>
      </w:r>
    </w:p>
    <w:p w14:paraId="29C0258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Amidst concurrent internal and external economic pressures, Chinese firms confront a critical challenge: the allocation of scarce resources. This study </w:t>
      </w:r>
      <w:r>
        <w:rPr>
          <w:rFonts w:ascii="Palatino Linotype" w:eastAsia="Times New Roman" w:hAnsi="Palatino Linotype" w:cs="Times New Roman"/>
          <w:snapToGrid w:val="0"/>
          <w:color w:val="000000"/>
          <w:kern w:val="0"/>
          <w:sz w:val="20"/>
          <w:szCs w:val="20"/>
          <w:lang w:bidi="en-US"/>
        </w:rPr>
        <w:t>addresses this dilemma by introducing a leverage point framework. Utilizing firm-level data, our approach employs interpretable machine learning. The goal is to algorithmically discern the pivotal drivers of corporate sustainability within a severely resou</w:t>
      </w:r>
      <w:r>
        <w:rPr>
          <w:rFonts w:ascii="Palatino Linotype" w:eastAsia="Times New Roman" w:hAnsi="Palatino Linotype" w:cs="Times New Roman"/>
          <w:snapToGrid w:val="0"/>
          <w:color w:val="000000"/>
          <w:kern w:val="0"/>
          <w:sz w:val="20"/>
          <w:szCs w:val="20"/>
          <w:lang w:bidi="en-US"/>
        </w:rPr>
        <w:t>rce-constrained environment.</w:t>
      </w:r>
    </w:p>
    <w:p w14:paraId="4B6C413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The empirical basis for our framework is a substantial dataset. It comprises 19,518 firm-year observations of Chinese A-share companies from 2010 to 2022. We deploy high-dimensional predictive models, specifically advanced ense</w:t>
      </w:r>
      <w:r>
        <w:rPr>
          <w:rFonts w:ascii="Palatino Linotype" w:eastAsia="Times New Roman" w:hAnsi="Palatino Linotype" w:cs="Times New Roman"/>
          <w:snapToGrid w:val="0"/>
          <w:color w:val="000000"/>
          <w:kern w:val="0"/>
          <w:sz w:val="20"/>
          <w:szCs w:val="20"/>
          <w:lang w:bidi="en-US"/>
        </w:rPr>
        <w:t xml:space="preserve">mble algorithms like Random Forest and </w:t>
      </w:r>
      <w:proofErr w:type="spellStart"/>
      <w:r>
        <w:rPr>
          <w:rFonts w:ascii="Palatino Linotype" w:eastAsia="Times New Roman" w:hAnsi="Palatino Linotype" w:cs="Times New Roman"/>
          <w:snapToGrid w:val="0"/>
          <w:color w:val="000000"/>
          <w:kern w:val="0"/>
          <w:sz w:val="20"/>
          <w:szCs w:val="20"/>
          <w:lang w:bidi="en-US"/>
        </w:rPr>
        <w:t>XGBoost</w:t>
      </w:r>
      <w:proofErr w:type="spellEnd"/>
      <w:r>
        <w:rPr>
          <w:rFonts w:ascii="Palatino Linotype" w:eastAsia="Times New Roman" w:hAnsi="Palatino Linotype" w:cs="Times New Roman"/>
          <w:snapToGrid w:val="0"/>
          <w:color w:val="000000"/>
          <w:kern w:val="0"/>
          <w:sz w:val="20"/>
          <w:szCs w:val="20"/>
          <w:lang w:bidi="en-US"/>
        </w:rPr>
        <w:t>. Sustainable operation is defined through two key metrics: the Sustainable Growth Rate (SGR) and Profit Volatility (PV). Following model construction, we examined feature importance and created Partial Depende</w:t>
      </w:r>
      <w:r>
        <w:rPr>
          <w:rFonts w:ascii="Palatino Linotype" w:eastAsia="Times New Roman" w:hAnsi="Palatino Linotype" w:cs="Times New Roman"/>
          <w:snapToGrid w:val="0"/>
          <w:color w:val="000000"/>
          <w:kern w:val="0"/>
          <w:sz w:val="20"/>
          <w:szCs w:val="20"/>
          <w:lang w:bidi="en-US"/>
        </w:rPr>
        <w:t>nce Plots (PDPs) to interpret the model, revealing key determinants and significant non-linear relationships.</w:t>
      </w:r>
    </w:p>
    <w:p w14:paraId="130FF73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The results offer compelling insights. Financial Performance and Green Development emerged as the highest-ranking determinants of corporate sustai</w:t>
      </w:r>
      <w:r>
        <w:rPr>
          <w:rFonts w:ascii="Palatino Linotype" w:eastAsia="Times New Roman" w:hAnsi="Palatino Linotype" w:cs="Times New Roman"/>
          <w:snapToGrid w:val="0"/>
          <w:color w:val="000000"/>
          <w:kern w:val="0"/>
          <w:sz w:val="20"/>
          <w:szCs w:val="20"/>
          <w:lang w:bidi="en-US"/>
        </w:rPr>
        <w:t>nability overall. Our modeling also uncovered critical non-linear thresholds. An optimal range for R&amp;D investment was identified between a ratio of 0.125 and 0.20. Similarly, a supplier concentration level around 20% was found to maximize sustainable perfo</w:t>
      </w:r>
      <w:r>
        <w:rPr>
          <w:rFonts w:ascii="Palatino Linotype" w:eastAsia="Times New Roman" w:hAnsi="Palatino Linotype" w:cs="Times New Roman"/>
          <w:snapToGrid w:val="0"/>
          <w:color w:val="000000"/>
          <w:kern w:val="0"/>
          <w:sz w:val="20"/>
          <w:szCs w:val="20"/>
          <w:lang w:bidi="en-US"/>
        </w:rPr>
        <w:t>rmance. Furthermore, the analysis exposed a variety of significant interaction effects, notably between the ROE growth rate and the adoption of green management practices.</w:t>
      </w:r>
    </w:p>
    <w:p w14:paraId="668CA17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This research significantly advances the understanding of corporate sustainability d</w:t>
      </w:r>
      <w:r>
        <w:rPr>
          <w:rFonts w:ascii="Palatino Linotype" w:eastAsia="Times New Roman" w:hAnsi="Palatino Linotype" w:cs="Times New Roman"/>
          <w:snapToGrid w:val="0"/>
          <w:color w:val="000000"/>
          <w:kern w:val="0"/>
          <w:sz w:val="20"/>
          <w:szCs w:val="20"/>
          <w:lang w:bidi="en-US"/>
        </w:rPr>
        <w:t xml:space="preserve">rivers. It presents a novel, interpretable, and data-driven framework for strategic resource allocation. This framework is particularly valuable for firms navigating competing demands during </w:t>
      </w:r>
      <w:r>
        <w:rPr>
          <w:rFonts w:ascii="Palatino Linotype" w:eastAsia="Times New Roman" w:hAnsi="Palatino Linotype" w:cs="Times New Roman"/>
          <w:snapToGrid w:val="0"/>
          <w:color w:val="000000"/>
          <w:kern w:val="0"/>
          <w:sz w:val="20"/>
          <w:szCs w:val="20"/>
          <w:lang w:bidi="en-US"/>
        </w:rPr>
        <w:lastRenderedPageBreak/>
        <w:t>periods of economic strain. Ultimately, the study provides action</w:t>
      </w:r>
      <w:r>
        <w:rPr>
          <w:rFonts w:ascii="Palatino Linotype" w:eastAsia="Times New Roman" w:hAnsi="Palatino Linotype" w:cs="Times New Roman"/>
          <w:snapToGrid w:val="0"/>
          <w:color w:val="000000"/>
          <w:kern w:val="0"/>
          <w:sz w:val="20"/>
          <w:szCs w:val="20"/>
          <w:lang w:bidi="en-US"/>
        </w:rPr>
        <w:t>able, evidence-based guidance. This advice aims to ensure firms not only capture value generation but also cultivate the resilience necessary for long-term growth.</w:t>
      </w:r>
    </w:p>
    <w:p w14:paraId="3C1B6F4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b/>
          <w:snapToGrid w:val="0"/>
          <w:color w:val="000000"/>
          <w:kern w:val="0"/>
          <w:sz w:val="20"/>
          <w:szCs w:val="20"/>
          <w:lang w:bidi="en-US"/>
        </w:rPr>
        <w:t xml:space="preserve">Keywords: </w:t>
      </w:r>
      <w:r>
        <w:rPr>
          <w:rFonts w:ascii="Palatino Linotype" w:eastAsia="Times New Roman" w:hAnsi="Palatino Linotype" w:cs="Times New Roman"/>
          <w:snapToGrid w:val="0"/>
          <w:color w:val="000000"/>
          <w:kern w:val="0"/>
          <w:sz w:val="20"/>
          <w:szCs w:val="20"/>
          <w:lang w:bidi="en-US"/>
        </w:rPr>
        <w:t>Financial Performance, Green Development, R&amp;D Investment, Supply Chain Management,</w:t>
      </w:r>
      <w:r>
        <w:rPr>
          <w:rFonts w:ascii="Palatino Linotype" w:eastAsia="Times New Roman" w:hAnsi="Palatino Linotype" w:cs="Times New Roman"/>
          <w:snapToGrid w:val="0"/>
          <w:color w:val="000000"/>
          <w:kern w:val="0"/>
          <w:sz w:val="20"/>
          <w:szCs w:val="20"/>
          <w:lang w:bidi="en-US"/>
        </w:rPr>
        <w:t xml:space="preserve"> Machine Learning</w:t>
      </w:r>
    </w:p>
    <w:p w14:paraId="0388EC36" w14:textId="77777777" w:rsidR="00624AAA" w:rsidRDefault="00624AAA"/>
    <w:p w14:paraId="36DA78EF" w14:textId="77777777" w:rsidR="00624AAA" w:rsidRDefault="00624AAA"/>
    <w:p w14:paraId="765E2DD5" w14:textId="77777777" w:rsidR="00624AAA" w:rsidRDefault="00624AAA"/>
    <w:p w14:paraId="16112963" w14:textId="77777777" w:rsidR="00624AAA" w:rsidRDefault="00C46345">
      <w:pPr>
        <w:pStyle w:val="MDPI21heading1"/>
        <w:ind w:left="0"/>
        <w:rPr>
          <w:lang w:eastAsia="zh-CN"/>
        </w:rPr>
      </w:pPr>
      <w:r>
        <w:rPr>
          <w:rFonts w:hint="eastAsia"/>
          <w:lang w:eastAsia="zh-CN"/>
        </w:rPr>
        <w:t>1 Introduction</w:t>
      </w:r>
    </w:p>
    <w:p w14:paraId="2B6D68B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Modern Chinese businesses are facing a collision of serious external and internal pressures that undermine their underlying operational viability and potential for long-term sustainability. Externally, geopolitical tensi</w:t>
      </w:r>
      <w:r>
        <w:rPr>
          <w:rFonts w:ascii="Palatino Linotype" w:eastAsia="Times New Roman" w:hAnsi="Palatino Linotype" w:cs="Times New Roman"/>
          <w:snapToGrid w:val="0"/>
          <w:color w:val="000000"/>
          <w:kern w:val="0"/>
          <w:sz w:val="20"/>
          <w:szCs w:val="20"/>
          <w:lang w:bidi="en-US"/>
        </w:rPr>
        <w:t>ons have manifested as strategic technology embargoes related to access to important semiconductors, and imposition of tariffs on significant exports like new energy vehicles. Internally, the economy is dealing with the repercussions of a severe real estat</w:t>
      </w:r>
      <w:r>
        <w:rPr>
          <w:rFonts w:ascii="Palatino Linotype" w:eastAsia="Times New Roman" w:hAnsi="Palatino Linotype" w:cs="Times New Roman"/>
          <w:snapToGrid w:val="0"/>
          <w:color w:val="000000"/>
          <w:kern w:val="0"/>
          <w:sz w:val="20"/>
          <w:szCs w:val="20"/>
          <w:lang w:bidi="en-US"/>
        </w:rPr>
        <w:t>e slump. Collapsing builders, such as Evergrande Group, have created a domino effect for upstream construction suppliers in terms of capital flow, not to mention that downstream home buyers have properties that they likely will never get. This has tightene</w:t>
      </w:r>
      <w:r>
        <w:rPr>
          <w:rFonts w:ascii="Palatino Linotype" w:eastAsia="Times New Roman" w:hAnsi="Palatino Linotype" w:cs="Times New Roman"/>
          <w:snapToGrid w:val="0"/>
          <w:color w:val="000000"/>
          <w:kern w:val="0"/>
          <w:sz w:val="20"/>
          <w:szCs w:val="20"/>
          <w:lang w:bidi="en-US"/>
        </w:rPr>
        <w:t xml:space="preserve">d liquidity across the economy, with firms in every industry being forced to either reduce salaries or lay-off staff, exacerbating corporate instability in every sector and lack of resources. </w:t>
      </w:r>
    </w:p>
    <w:p w14:paraId="1F58408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In this “economic winter”, the businesses are in a strategic conundrum. On the one hand, firms must urgently restrict costs and remain focused on core activities for short-term survival and, on the other, national policy requires firms to make major forwar</w:t>
      </w:r>
      <w:r>
        <w:rPr>
          <w:rFonts w:ascii="Palatino Linotype" w:eastAsia="Times New Roman" w:hAnsi="Palatino Linotype" w:cs="Times New Roman"/>
          <w:snapToGrid w:val="0"/>
          <w:color w:val="000000"/>
          <w:kern w:val="0"/>
          <w:sz w:val="20"/>
          <w:szCs w:val="20"/>
          <w:lang w:bidi="en-US"/>
        </w:rPr>
        <w:t>d-looking investments. The government's “dual carbon” targets are forcing firms to transition to green development and requiring significant capital expenditures for environmental protection and energy-saving initiatives. The ideological thrust for innovat</w:t>
      </w:r>
      <w:r>
        <w:rPr>
          <w:rFonts w:ascii="Palatino Linotype" w:eastAsia="Times New Roman" w:hAnsi="Palatino Linotype" w:cs="Times New Roman"/>
          <w:snapToGrid w:val="0"/>
          <w:color w:val="000000"/>
          <w:kern w:val="0"/>
          <w:sz w:val="20"/>
          <w:szCs w:val="20"/>
          <w:lang w:bidi="en-US"/>
        </w:rPr>
        <w:t>ion-based growth from the strategic directions outlined in the 20th National Congress requires firms to commit substantial funds to R&amp;D. These long-term implications are critical to developing national competitiveness and accountability for ecological well</w:t>
      </w:r>
      <w:r>
        <w:rPr>
          <w:rFonts w:ascii="Palatino Linotype" w:eastAsia="Times New Roman" w:hAnsi="Palatino Linotype" w:cs="Times New Roman"/>
          <w:snapToGrid w:val="0"/>
          <w:color w:val="000000"/>
          <w:kern w:val="0"/>
          <w:sz w:val="20"/>
          <w:szCs w:val="20"/>
          <w:lang w:bidi="en-US"/>
        </w:rPr>
        <w:t xml:space="preserve">-being, yet firms may not have the financial means to support this longer-term </w:t>
      </w:r>
      <w:proofErr w:type="spellStart"/>
      <w:r>
        <w:rPr>
          <w:rFonts w:ascii="Palatino Linotype" w:eastAsia="Times New Roman" w:hAnsi="Palatino Linotype" w:cs="Times New Roman"/>
          <w:snapToGrid w:val="0"/>
          <w:color w:val="000000"/>
          <w:kern w:val="0"/>
          <w:sz w:val="20"/>
          <w:szCs w:val="20"/>
          <w:lang w:bidi="en-US"/>
        </w:rPr>
        <w:t>focus.The</w:t>
      </w:r>
      <w:proofErr w:type="spellEnd"/>
      <w:r>
        <w:rPr>
          <w:rFonts w:ascii="Palatino Linotype" w:eastAsia="Times New Roman" w:hAnsi="Palatino Linotype" w:cs="Times New Roman"/>
          <w:snapToGrid w:val="0"/>
          <w:color w:val="000000"/>
          <w:kern w:val="0"/>
          <w:sz w:val="20"/>
          <w:szCs w:val="20"/>
          <w:lang w:bidi="en-US"/>
        </w:rPr>
        <w:t xml:space="preserve"> most notable effect of this resource constraint is the broken capital chain and disrupted supply chain activities that make it extremely challenging for managers to fi</w:t>
      </w:r>
      <w:r>
        <w:rPr>
          <w:rFonts w:ascii="Palatino Linotype" w:eastAsia="Times New Roman" w:hAnsi="Palatino Linotype" w:cs="Times New Roman"/>
          <w:snapToGrid w:val="0"/>
          <w:color w:val="000000"/>
          <w:kern w:val="0"/>
          <w:sz w:val="20"/>
          <w:szCs w:val="20"/>
          <w:lang w:bidi="en-US"/>
        </w:rPr>
        <w:t>nance green initiatives and R&amp;D in addition to making sure they stay financially solvent and their supply chains resilient. Therefore, how to make the best use of severely constrained resources has become the biggest issue for corporate viability and susta</w:t>
      </w:r>
      <w:r>
        <w:rPr>
          <w:rFonts w:ascii="Palatino Linotype" w:eastAsia="Times New Roman" w:hAnsi="Palatino Linotype" w:cs="Times New Roman"/>
          <w:snapToGrid w:val="0"/>
          <w:color w:val="000000"/>
          <w:kern w:val="0"/>
          <w:sz w:val="20"/>
          <w:szCs w:val="20"/>
          <w:lang w:bidi="en-US"/>
        </w:rPr>
        <w:t xml:space="preserve">inable development. </w:t>
      </w:r>
    </w:p>
    <w:p w14:paraId="17B140E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Existing literature on resource constraints has some valuable suggestions to offer. For example, it is found that firms following a ‘balanced’ strategy, allocating constrained resources to functions like marketing and R&amp;D, </w:t>
      </w:r>
      <w:r>
        <w:rPr>
          <w:rFonts w:ascii="Palatino Linotype" w:eastAsia="Times New Roman" w:hAnsi="Palatino Linotype" w:cs="Times New Roman"/>
          <w:snapToGrid w:val="0"/>
          <w:color w:val="000000"/>
          <w:kern w:val="0"/>
          <w:sz w:val="20"/>
          <w:szCs w:val="20"/>
          <w:lang w:bidi="en-US"/>
        </w:rPr>
        <w:t>perform better than firms allocating in only one function</w:t>
      </w:r>
      <w:r>
        <w:rPr>
          <w:rFonts w:ascii="Palatino Linotype" w:eastAsia="Times New Roman" w:hAnsi="Palatino Linotype" w:cs="Times New Roman" w:hint="eastAsia"/>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snapToGrid w:val="0"/>
          <w:color w:val="000000"/>
          <w:kern w:val="0"/>
          <w:sz w:val="20"/>
          <w:szCs w:val="20"/>
          <w:lang w:bidi="en-US"/>
        </w:rPr>
        <w:fldChar w:fldCharType="begin"/>
      </w:r>
      <w:r>
        <w:rPr>
          <w:rFonts w:ascii="Palatino Linotype" w:eastAsia="Times New Roman" w:hAnsi="Palatino Linotype" w:cs="Times New Roman"/>
          <w:snapToGrid w:val="0"/>
          <w:color w:val="000000"/>
          <w:kern w:val="0"/>
          <w:sz w:val="20"/>
          <w:szCs w:val="20"/>
          <w:lang w:bidi="en-US"/>
        </w:rPr>
        <w:instrText xml:space="preserve"> REF _Ref700838632 \r \h </w:instrText>
      </w:r>
      <w:r>
        <w:rPr>
          <w:rFonts w:ascii="Palatino Linotype" w:eastAsia="Times New Roman" w:hAnsi="Palatino Linotype" w:cs="Times New Roman"/>
          <w:snapToGrid w:val="0"/>
          <w:color w:val="000000"/>
          <w:kern w:val="0"/>
          <w:sz w:val="20"/>
          <w:szCs w:val="20"/>
          <w:lang w:bidi="en-US"/>
        </w:rPr>
      </w:r>
      <w:r>
        <w:rPr>
          <w:rFonts w:ascii="Palatino Linotype" w:eastAsia="Times New Roman" w:hAnsi="Palatino Linotype" w:cs="Times New Roman"/>
          <w:snapToGrid w:val="0"/>
          <w:color w:val="000000"/>
          <w:kern w:val="0"/>
          <w:sz w:val="20"/>
          <w:szCs w:val="20"/>
          <w:lang w:bidi="en-US"/>
        </w:rPr>
        <w:fldChar w:fldCharType="separate"/>
      </w:r>
      <w:r>
        <w:rPr>
          <w:rFonts w:ascii="Palatino Linotype" w:eastAsia="Times New Roman" w:hAnsi="Palatino Linotype" w:cs="Times New Roman"/>
          <w:snapToGrid w:val="0"/>
          <w:color w:val="000000"/>
          <w:kern w:val="0"/>
          <w:sz w:val="20"/>
          <w:szCs w:val="20"/>
          <w:lang w:bidi="en-US"/>
        </w:rPr>
        <w:t>1</w:t>
      </w:r>
      <w:r>
        <w:rPr>
          <w:rFonts w:ascii="Palatino Linotype" w:eastAsia="Times New Roman" w:hAnsi="Palatino Linotype" w:cs="Times New Roman"/>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 Another body of literature suggests that resource constraints can paradoxically spur innovation becau</w:t>
      </w:r>
      <w:r>
        <w:rPr>
          <w:rFonts w:ascii="Palatino Linotype" w:eastAsia="Times New Roman" w:hAnsi="Palatino Linotype" w:cs="Times New Roman"/>
          <w:snapToGrid w:val="0"/>
          <w:color w:val="000000"/>
          <w:kern w:val="0"/>
          <w:sz w:val="20"/>
          <w:szCs w:val="20"/>
          <w:lang w:bidi="en-US"/>
        </w:rPr>
        <w:t>se firms must think creatively and make good use of resource constraints</w:t>
      </w:r>
      <w:r>
        <w:rPr>
          <w:rFonts w:ascii="Palatino Linotype" w:eastAsia="Times New Roman" w:hAnsi="Palatino Linotype" w:cs="Times New Roman" w:hint="eastAsia"/>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snapToGrid w:val="0"/>
          <w:color w:val="000000"/>
          <w:kern w:val="0"/>
          <w:sz w:val="20"/>
          <w:szCs w:val="20"/>
          <w:lang w:bidi="en-US"/>
        </w:rPr>
        <w:fldChar w:fldCharType="begin"/>
      </w:r>
      <w:r>
        <w:rPr>
          <w:rFonts w:ascii="Palatino Linotype" w:eastAsia="Times New Roman" w:hAnsi="Palatino Linotype" w:cs="Times New Roman"/>
          <w:snapToGrid w:val="0"/>
          <w:color w:val="000000"/>
          <w:kern w:val="0"/>
          <w:sz w:val="20"/>
          <w:szCs w:val="20"/>
          <w:lang w:bidi="en-US"/>
        </w:rPr>
        <w:instrText xml:space="preserve"> REF _Ref701208386 \r \h </w:instrText>
      </w:r>
      <w:r>
        <w:rPr>
          <w:rFonts w:ascii="Palatino Linotype" w:eastAsia="Times New Roman" w:hAnsi="Palatino Linotype" w:cs="Times New Roman"/>
          <w:snapToGrid w:val="0"/>
          <w:color w:val="000000"/>
          <w:kern w:val="0"/>
          <w:sz w:val="20"/>
          <w:szCs w:val="20"/>
          <w:lang w:bidi="en-US"/>
        </w:rPr>
      </w:r>
      <w:r>
        <w:rPr>
          <w:rFonts w:ascii="Palatino Linotype" w:eastAsia="Times New Roman" w:hAnsi="Palatino Linotype" w:cs="Times New Roman"/>
          <w:snapToGrid w:val="0"/>
          <w:color w:val="000000"/>
          <w:kern w:val="0"/>
          <w:sz w:val="20"/>
          <w:szCs w:val="20"/>
          <w:lang w:bidi="en-US"/>
        </w:rPr>
        <w:fldChar w:fldCharType="separate"/>
      </w:r>
      <w:r>
        <w:rPr>
          <w:rFonts w:ascii="Palatino Linotype" w:eastAsia="Times New Roman" w:hAnsi="Palatino Linotype" w:cs="Times New Roman"/>
          <w:snapToGrid w:val="0"/>
          <w:color w:val="000000"/>
          <w:kern w:val="0"/>
          <w:sz w:val="20"/>
          <w:szCs w:val="20"/>
          <w:lang w:bidi="en-US"/>
        </w:rPr>
        <w:t>2</w:t>
      </w:r>
      <w:r>
        <w:rPr>
          <w:rFonts w:ascii="Palatino Linotype" w:eastAsia="Times New Roman" w:hAnsi="Palatino Linotype" w:cs="Times New Roman"/>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 However, much of this literature has significant limitations in light of today's comp</w:t>
      </w:r>
      <w:r>
        <w:rPr>
          <w:rFonts w:ascii="Palatino Linotype" w:eastAsia="Times New Roman" w:hAnsi="Palatino Linotype" w:cs="Times New Roman"/>
          <w:snapToGrid w:val="0"/>
          <w:color w:val="000000"/>
          <w:kern w:val="0"/>
          <w:sz w:val="20"/>
          <w:szCs w:val="20"/>
          <w:lang w:bidi="en-US"/>
        </w:rPr>
        <w:t xml:space="preserve">licated crisis. First, the studies tend to lack multi-dimensional analyses examining the role of the constraints on a single domain, say innovation, without consideration of the fact that green development, supply chain management and financial health are </w:t>
      </w:r>
      <w:r>
        <w:rPr>
          <w:rFonts w:ascii="Palatino Linotype" w:eastAsia="Times New Roman" w:hAnsi="Palatino Linotype" w:cs="Times New Roman"/>
          <w:snapToGrid w:val="0"/>
          <w:color w:val="000000"/>
          <w:kern w:val="0"/>
          <w:sz w:val="20"/>
          <w:szCs w:val="20"/>
          <w:lang w:bidi="en-US"/>
        </w:rPr>
        <w:t>all now connected. Second, the type of analytical models used are often linear models which examine how investments, say in R&amp;D, affect financial performance without consideration of the reciprocal and synergetic nature of these domains</w:t>
      </w:r>
      <w:r>
        <w:rPr>
          <w:rFonts w:ascii="Palatino Linotype" w:eastAsia="Times New Roman" w:hAnsi="Palatino Linotype" w:cs="Times New Roman" w:hint="eastAsia"/>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fldChar w:fldCharType="begin"/>
      </w:r>
      <w:r>
        <w:rPr>
          <w:rFonts w:ascii="Palatino Linotype" w:eastAsia="Times New Roman" w:hAnsi="Palatino Linotype" w:cs="Times New Roman" w:hint="eastAsia"/>
          <w:snapToGrid w:val="0"/>
          <w:color w:val="000000"/>
          <w:kern w:val="0"/>
          <w:sz w:val="20"/>
          <w:szCs w:val="20"/>
          <w:lang w:bidi="en-US"/>
        </w:rPr>
        <w:instrText xml:space="preserve"> REF _Ref702115964</w:instrText>
      </w:r>
      <w:r>
        <w:rPr>
          <w:rFonts w:ascii="Palatino Linotype" w:eastAsia="Times New Roman" w:hAnsi="Palatino Linotype" w:cs="Times New Roman" w:hint="eastAsia"/>
          <w:snapToGrid w:val="0"/>
          <w:color w:val="000000"/>
          <w:kern w:val="0"/>
          <w:sz w:val="20"/>
          <w:szCs w:val="20"/>
          <w:lang w:bidi="en-US"/>
        </w:rPr>
        <w:instrText xml:space="preserve"> \r \h </w:instrText>
      </w:r>
      <w:r>
        <w:rPr>
          <w:rFonts w:ascii="Palatino Linotype" w:eastAsia="Times New Roman" w:hAnsi="Palatino Linotype" w:cs="Times New Roman" w:hint="eastAsia"/>
          <w:snapToGrid w:val="0"/>
          <w:color w:val="000000"/>
          <w:kern w:val="0"/>
          <w:sz w:val="20"/>
          <w:szCs w:val="20"/>
          <w:lang w:bidi="en-US"/>
        </w:rPr>
      </w:r>
      <w:r>
        <w:rPr>
          <w:rFonts w:ascii="Palatino Linotype" w:eastAsia="Times New Roman" w:hAnsi="Palatino Linotype" w:cs="Times New Roman" w:hint="eastAsia"/>
          <w:snapToGrid w:val="0"/>
          <w:color w:val="000000"/>
          <w:kern w:val="0"/>
          <w:sz w:val="20"/>
          <w:szCs w:val="20"/>
          <w:lang w:bidi="en-US"/>
        </w:rPr>
        <w:fldChar w:fldCharType="separate"/>
      </w:r>
      <w:r>
        <w:rPr>
          <w:rFonts w:ascii="Palatino Linotype" w:eastAsia="Times New Roman" w:hAnsi="Palatino Linotype" w:cs="Times New Roman" w:hint="eastAsia"/>
          <w:snapToGrid w:val="0"/>
          <w:color w:val="000000"/>
          <w:kern w:val="0"/>
          <w:sz w:val="20"/>
          <w:szCs w:val="20"/>
          <w:lang w:bidi="en-US"/>
        </w:rPr>
        <w:t>3</w:t>
      </w:r>
      <w:r>
        <w:rPr>
          <w:rFonts w:ascii="Palatino Linotype" w:eastAsia="Times New Roman" w:hAnsi="Palatino Linotype" w:cs="Times New Roman" w:hint="eastAsia"/>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t xml:space="preserve">Scholarly literature, in general, does not allow for a unified framework of the relational, and at times conflicting, relationships among these three investment areas. This is </w:t>
      </w:r>
      <w:r>
        <w:rPr>
          <w:rFonts w:ascii="Palatino Linotype" w:eastAsia="Times New Roman" w:hAnsi="Palatino Linotype" w:cs="Times New Roman"/>
          <w:snapToGrid w:val="0"/>
          <w:color w:val="000000"/>
          <w:kern w:val="0"/>
          <w:sz w:val="20"/>
          <w:szCs w:val="20"/>
          <w:lang w:bidi="en-US"/>
        </w:rPr>
        <w:t xml:space="preserve">important when thinking about the complexities faced in today's </w:t>
      </w:r>
      <w:r>
        <w:rPr>
          <w:rFonts w:ascii="Palatino Linotype" w:eastAsia="Times New Roman" w:hAnsi="Palatino Linotype" w:cs="Times New Roman"/>
          <w:snapToGrid w:val="0"/>
          <w:color w:val="000000"/>
          <w:kern w:val="0"/>
          <w:sz w:val="20"/>
          <w:szCs w:val="20"/>
          <w:lang w:bidi="en-US"/>
        </w:rPr>
        <w:lastRenderedPageBreak/>
        <w:t>environment.</w:t>
      </w:r>
    </w:p>
    <w:p w14:paraId="0613DC67"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In order to move forward in a way that rejects the path of standard linear analysis, this study takes a machine learning (ML) approach. We have selected reasoning for a computatio</w:t>
      </w:r>
      <w:r>
        <w:rPr>
          <w:rFonts w:ascii="Palatino Linotype" w:eastAsia="Times New Roman" w:hAnsi="Palatino Linotype" w:cs="Times New Roman"/>
          <w:snapToGrid w:val="0"/>
          <w:color w:val="000000"/>
          <w:kern w:val="0"/>
          <w:sz w:val="20"/>
          <w:szCs w:val="20"/>
          <w:lang w:bidi="en-US"/>
        </w:rPr>
        <w:t>nal perspective because ML will allow for modelling of the complex, non-linear and bidirectional relationships that comprise corporate investment systems. Standard econometric approaches encounter endogeneity and multi-collinearity among variables and ther</w:t>
      </w:r>
      <w:r>
        <w:rPr>
          <w:rFonts w:ascii="Palatino Linotype" w:eastAsia="Times New Roman" w:hAnsi="Palatino Linotype" w:cs="Times New Roman"/>
          <w:snapToGrid w:val="0"/>
          <w:color w:val="000000"/>
          <w:kern w:val="0"/>
          <w:sz w:val="20"/>
          <w:szCs w:val="20"/>
          <w:lang w:bidi="en-US"/>
        </w:rPr>
        <w:t xml:space="preserve">efore routinely cannot model the multilayered complex interactions. Management uses simultaneous ML algorithms to simulate and forecast outcomes. Rather than limiting the analytical approach to </w:t>
      </w:r>
      <w:proofErr w:type="gramStart"/>
      <w:r>
        <w:rPr>
          <w:rFonts w:ascii="Palatino Linotype" w:eastAsia="Times New Roman" w:hAnsi="Palatino Linotype" w:cs="Times New Roman"/>
          <w:snapToGrid w:val="0"/>
          <w:color w:val="000000"/>
          <w:kern w:val="0"/>
          <w:sz w:val="20"/>
          <w:szCs w:val="20"/>
          <w:lang w:bidi="en-US"/>
        </w:rPr>
        <w:t>cause and effect</w:t>
      </w:r>
      <w:proofErr w:type="gramEnd"/>
      <w:r>
        <w:rPr>
          <w:rFonts w:ascii="Palatino Linotype" w:eastAsia="Times New Roman" w:hAnsi="Palatino Linotype" w:cs="Times New Roman"/>
          <w:snapToGrid w:val="0"/>
          <w:color w:val="000000"/>
          <w:kern w:val="0"/>
          <w:sz w:val="20"/>
          <w:szCs w:val="20"/>
          <w:lang w:bidi="en-US"/>
        </w:rPr>
        <w:t xml:space="preserve"> analysis pursued in traditional economics, th</w:t>
      </w:r>
      <w:r>
        <w:rPr>
          <w:rFonts w:ascii="Palatino Linotype" w:eastAsia="Times New Roman" w:hAnsi="Palatino Linotype" w:cs="Times New Roman"/>
          <w:snapToGrid w:val="0"/>
          <w:color w:val="000000"/>
          <w:kern w:val="0"/>
          <w:sz w:val="20"/>
          <w:szCs w:val="20"/>
          <w:lang w:bidi="en-US"/>
        </w:rPr>
        <w:t xml:space="preserve">e focus of the current research uses a whole-portfolio effect of a combination of investments that create the necessary green development, innovation and supply chain mix to achieve a baseline </w:t>
      </w:r>
      <w:r>
        <w:rPr>
          <w:rFonts w:ascii="Palatino Linotype" w:eastAsia="Times New Roman" w:hAnsi="Palatino Linotype" w:cs="Times New Roman" w:hint="eastAsia"/>
          <w:snapToGrid w:val="0"/>
          <w:color w:val="000000"/>
          <w:kern w:val="0"/>
          <w:sz w:val="20"/>
          <w:szCs w:val="20"/>
          <w:lang w:bidi="en-US"/>
        </w:rPr>
        <w:t>financial</w:t>
      </w:r>
      <w:r>
        <w:rPr>
          <w:rFonts w:ascii="Palatino Linotype" w:eastAsia="Times New Roman" w:hAnsi="Palatino Linotype" w:cs="Times New Roman"/>
          <w:snapToGrid w:val="0"/>
          <w:color w:val="000000"/>
          <w:kern w:val="0"/>
          <w:sz w:val="20"/>
          <w:szCs w:val="20"/>
          <w:lang w:bidi="en-US"/>
        </w:rPr>
        <w:t xml:space="preserve"> objectives as well as enable sustainable operation. M</w:t>
      </w:r>
      <w:r>
        <w:rPr>
          <w:rFonts w:ascii="Palatino Linotype" w:eastAsia="Times New Roman" w:hAnsi="Palatino Linotype" w:cs="Times New Roman"/>
          <w:snapToGrid w:val="0"/>
          <w:color w:val="000000"/>
          <w:kern w:val="0"/>
          <w:sz w:val="20"/>
          <w:szCs w:val="20"/>
          <w:lang w:bidi="en-US"/>
        </w:rPr>
        <w:t>L model, by estimating prior data, identifies baseline variables and index points that would visually predict baselines of investments necessary to achieve baseline investments required in green development, ability for innovation and SCM to get the baseli</w:t>
      </w:r>
      <w:r>
        <w:rPr>
          <w:rFonts w:ascii="Palatino Linotype" w:eastAsia="Times New Roman" w:hAnsi="Palatino Linotype" w:cs="Times New Roman"/>
          <w:snapToGrid w:val="0"/>
          <w:color w:val="000000"/>
          <w:kern w:val="0"/>
          <w:sz w:val="20"/>
          <w:szCs w:val="20"/>
          <w:lang w:bidi="en-US"/>
        </w:rPr>
        <w:t>ne of investment correct.</w:t>
      </w:r>
    </w:p>
    <w:p w14:paraId="42FAFFE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In the context of this research, we will draw upon a dataset of 16 indicators that investigate four main areas of the three focus areas (Green Development area GD, R&amp;D Innovation area (RDI), Supply Chain Management area (SCM) and </w:t>
      </w:r>
      <w:r>
        <w:rPr>
          <w:rFonts w:ascii="Palatino Linotype" w:eastAsia="Times New Roman" w:hAnsi="Palatino Linotype" w:cs="Times New Roman"/>
          <w:snapToGrid w:val="0"/>
          <w:color w:val="000000"/>
          <w:kern w:val="0"/>
          <w:sz w:val="20"/>
          <w:szCs w:val="20"/>
          <w:lang w:bidi="en-US"/>
        </w:rPr>
        <w:t>Financial Performance (FP) for firms in the manufacturing sector in China). In addition, the study will work to address the following principal and secondary questions: (1) What are the significant interconnected relationship and feedback loop mechanisms a</w:t>
      </w:r>
      <w:r>
        <w:rPr>
          <w:rFonts w:ascii="Palatino Linotype" w:eastAsia="Times New Roman" w:hAnsi="Palatino Linotype" w:cs="Times New Roman"/>
          <w:snapToGrid w:val="0"/>
          <w:color w:val="000000"/>
          <w:kern w:val="0"/>
          <w:sz w:val="20"/>
          <w:szCs w:val="20"/>
          <w:lang w:bidi="en-US"/>
        </w:rPr>
        <w:t>mong investment in GD, RDI and SCM and their combined impact on FP? (2) What is the relative importance of Green Development, Research &amp; Development Innovation and Supply Chain Management in regard to maintaining sustainable operation of an enterprise in e</w:t>
      </w:r>
      <w:r>
        <w:rPr>
          <w:rFonts w:ascii="Palatino Linotype" w:eastAsia="Times New Roman" w:hAnsi="Palatino Linotype" w:cs="Times New Roman"/>
          <w:snapToGrid w:val="0"/>
          <w:color w:val="000000"/>
          <w:kern w:val="0"/>
          <w:sz w:val="20"/>
          <w:szCs w:val="20"/>
          <w:lang w:bidi="en-US"/>
        </w:rPr>
        <w:t xml:space="preserve">xtreme resource constrains? (3) Can we derive a foundational investment ratio of GD, R&amp;D Innovation and SCM that will ultimately allow firms to achieve their baseline </w:t>
      </w:r>
      <w:r>
        <w:rPr>
          <w:rFonts w:ascii="Palatino Linotype" w:eastAsia="Times New Roman" w:hAnsi="Palatino Linotype" w:cs="Times New Roman" w:hint="eastAsia"/>
          <w:snapToGrid w:val="0"/>
          <w:color w:val="000000"/>
          <w:kern w:val="0"/>
          <w:sz w:val="20"/>
          <w:szCs w:val="20"/>
          <w:lang w:bidi="en-US"/>
        </w:rPr>
        <w:t>financial</w:t>
      </w:r>
      <w:r>
        <w:rPr>
          <w:rFonts w:ascii="Palatino Linotype" w:eastAsia="Times New Roman" w:hAnsi="Palatino Linotype" w:cs="Times New Roman"/>
          <w:snapToGrid w:val="0"/>
          <w:color w:val="000000"/>
          <w:kern w:val="0"/>
          <w:sz w:val="20"/>
          <w:szCs w:val="20"/>
          <w:lang w:bidi="en-US"/>
        </w:rPr>
        <w:t xml:space="preserve"> requirements while also providing a base for their green and innovation require</w:t>
      </w:r>
      <w:r>
        <w:rPr>
          <w:rFonts w:ascii="Palatino Linotype" w:eastAsia="Times New Roman" w:hAnsi="Palatino Linotype" w:cs="Times New Roman"/>
          <w:snapToGrid w:val="0"/>
          <w:color w:val="000000"/>
          <w:kern w:val="0"/>
          <w:sz w:val="20"/>
          <w:szCs w:val="20"/>
          <w:lang w:bidi="en-US"/>
        </w:rPr>
        <w:t>ments?</w:t>
      </w:r>
    </w:p>
    <w:p w14:paraId="323852B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The present study contributes to both theory and practice in significant ways. From a theoretical perspective, we will extend the literature on corporate strategy by offering a </w:t>
      </w:r>
      <w:r>
        <w:rPr>
          <w:rFonts w:ascii="Palatino Linotype" w:eastAsia="Times New Roman" w:hAnsi="Palatino Linotype" w:cs="Times New Roman" w:hint="eastAsia"/>
          <w:snapToGrid w:val="0"/>
          <w:color w:val="000000"/>
          <w:kern w:val="0"/>
          <w:sz w:val="20"/>
          <w:szCs w:val="20"/>
          <w:lang w:bidi="en-US"/>
        </w:rPr>
        <w:t>multidimensional</w:t>
      </w:r>
      <w:r>
        <w:rPr>
          <w:rFonts w:ascii="Palatino Linotype" w:eastAsia="Times New Roman" w:hAnsi="Palatino Linotype" w:cs="Times New Roman"/>
          <w:snapToGrid w:val="0"/>
          <w:color w:val="000000"/>
          <w:kern w:val="0"/>
          <w:sz w:val="20"/>
          <w:szCs w:val="20"/>
          <w:lang w:bidi="en-US"/>
        </w:rPr>
        <w:t>, symbiotic relationship of investments that shifts thin</w:t>
      </w:r>
      <w:r>
        <w:rPr>
          <w:rFonts w:ascii="Palatino Linotype" w:eastAsia="Times New Roman" w:hAnsi="Palatino Linotype" w:cs="Times New Roman"/>
          <w:snapToGrid w:val="0"/>
          <w:color w:val="000000"/>
          <w:kern w:val="0"/>
          <w:sz w:val="20"/>
          <w:szCs w:val="20"/>
          <w:lang w:bidi="en-US"/>
        </w:rPr>
        <w:t>king about conducting isolated or singular analyses to an exploratory systems analysis based on resource-based theory and principles of sustainable operation for an enterprise. From a practical perspective, we provide enterprise managers with a data-orient</w:t>
      </w:r>
      <w:r>
        <w:rPr>
          <w:rFonts w:ascii="Palatino Linotype" w:eastAsia="Times New Roman" w:hAnsi="Palatino Linotype" w:cs="Times New Roman"/>
          <w:snapToGrid w:val="0"/>
          <w:color w:val="000000"/>
          <w:kern w:val="0"/>
          <w:sz w:val="20"/>
          <w:szCs w:val="20"/>
          <w:lang w:bidi="en-US"/>
        </w:rPr>
        <w:t>ated, empirical framework for understanding and making crucial resource allocation decisions. The ability to receive predictive information about investment balances, allows this research to offer a practical path for Chinese enterprises not only to surviv</w:t>
      </w:r>
      <w:r>
        <w:rPr>
          <w:rFonts w:ascii="Palatino Linotype" w:eastAsia="Times New Roman" w:hAnsi="Palatino Linotype" w:cs="Times New Roman"/>
          <w:snapToGrid w:val="0"/>
          <w:color w:val="000000"/>
          <w:kern w:val="0"/>
          <w:sz w:val="20"/>
          <w:szCs w:val="20"/>
          <w:lang w:bidi="en-US"/>
        </w:rPr>
        <w:t>e the current downturn in simultaneity, but also to build the grounds for long-term sustainable operation.</w:t>
      </w:r>
    </w:p>
    <w:p w14:paraId="35CA958B" w14:textId="77777777" w:rsidR="00624AAA" w:rsidRDefault="00C46345">
      <w:pPr>
        <w:pStyle w:val="MDPI21heading1"/>
        <w:ind w:left="0"/>
        <w:rPr>
          <w:lang w:eastAsia="zh-CN"/>
        </w:rPr>
      </w:pPr>
      <w:r>
        <w:rPr>
          <w:rFonts w:hint="eastAsia"/>
          <w:lang w:eastAsia="zh-CN"/>
        </w:rPr>
        <w:t>2 Theories and Literature review</w:t>
      </w:r>
    </w:p>
    <w:p w14:paraId="37D7C585"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hint="eastAsia"/>
          <w:snapToGrid w:val="0"/>
          <w:color w:val="000000"/>
          <w:kern w:val="0"/>
          <w:sz w:val="20"/>
          <w:szCs w:val="20"/>
          <w:lang w:bidi="en-US"/>
        </w:rPr>
        <w:t>This research explores the linkage of three established theories, Investment Decision Theory, the Resource-Based Vie</w:t>
      </w:r>
      <w:r>
        <w:rPr>
          <w:rFonts w:ascii="Palatino Linotype" w:eastAsia="Times New Roman" w:hAnsi="Palatino Linotype" w:cs="Times New Roman" w:hint="eastAsia"/>
          <w:snapToGrid w:val="0"/>
          <w:color w:val="000000"/>
          <w:kern w:val="0"/>
          <w:sz w:val="20"/>
          <w:szCs w:val="20"/>
          <w:lang w:bidi="en-US"/>
        </w:rPr>
        <w:t>w (RBV), and the Going Concern Theory, to form a framework for corporate sustainable operation. In the published literature, investment decision theory, financial performance, green development, R&amp;D innovation, and supply chain management have been covered</w:t>
      </w:r>
      <w:r>
        <w:rPr>
          <w:rFonts w:ascii="Palatino Linotype" w:eastAsia="Times New Roman" w:hAnsi="Palatino Linotype" w:cs="Times New Roman" w:hint="eastAsia"/>
          <w:snapToGrid w:val="0"/>
          <w:color w:val="000000"/>
          <w:kern w:val="0"/>
          <w:sz w:val="20"/>
          <w:szCs w:val="20"/>
          <w:lang w:bidi="en-US"/>
        </w:rPr>
        <w:t xml:space="preserve"> in isolation. This research will bring these areas together to study how these areas contribute collectively and interdependently to enterprise sustainability, in the face of significant resource constraints. </w:t>
      </w:r>
    </w:p>
    <w:p w14:paraId="6BC158DA" w14:textId="77777777" w:rsidR="00624AAA" w:rsidRDefault="00C46345">
      <w:pPr>
        <w:pStyle w:val="MDPI22heading2"/>
        <w:spacing w:before="240"/>
        <w:ind w:left="0"/>
      </w:pPr>
      <w:r>
        <w:rPr>
          <w:rFonts w:hint="eastAsia"/>
        </w:rPr>
        <w:t>2.1 Investment Decision Theory: From Unidirec</w:t>
      </w:r>
      <w:r>
        <w:rPr>
          <w:rFonts w:hint="eastAsia"/>
        </w:rPr>
        <w:t xml:space="preserve">tional Dependent Links to a Systems View </w:t>
      </w:r>
      <w:r>
        <w:rPr>
          <w:rFonts w:hint="eastAsia"/>
          <w:lang w:eastAsia="zh-CN"/>
        </w:rPr>
        <w:t>of the Process</w:t>
      </w:r>
    </w:p>
    <w:p w14:paraId="737AA5B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hint="eastAsia"/>
          <w:snapToGrid w:val="0"/>
          <w:color w:val="000000"/>
          <w:kern w:val="0"/>
          <w:sz w:val="20"/>
          <w:szCs w:val="20"/>
          <w:lang w:bidi="en-US"/>
        </w:rPr>
        <w:t xml:space="preserve">Investment Decision Theory provides the underlying thinking regarding how resources </w:t>
      </w:r>
      <w:r>
        <w:rPr>
          <w:rFonts w:ascii="Palatino Linotype" w:eastAsia="Times New Roman" w:hAnsi="Palatino Linotype" w:cs="Times New Roman" w:hint="eastAsia"/>
          <w:snapToGrid w:val="0"/>
          <w:color w:val="000000"/>
          <w:kern w:val="0"/>
          <w:sz w:val="20"/>
          <w:szCs w:val="20"/>
          <w:lang w:bidi="en-US"/>
        </w:rPr>
        <w:lastRenderedPageBreak/>
        <w:t>unanimously link the decision to invest with the performance outcomes of the firm. Existing literature describes dis</w:t>
      </w:r>
      <w:r>
        <w:rPr>
          <w:rFonts w:ascii="Palatino Linotype" w:eastAsia="Times New Roman" w:hAnsi="Palatino Linotype" w:cs="Times New Roman" w:hint="eastAsia"/>
          <w:snapToGrid w:val="0"/>
          <w:color w:val="000000"/>
          <w:kern w:val="0"/>
          <w:sz w:val="20"/>
          <w:szCs w:val="20"/>
          <w:lang w:bidi="en-US"/>
        </w:rPr>
        <w:t xml:space="preserve">tinct but </w:t>
      </w:r>
      <w:proofErr w:type="spellStart"/>
      <w:r>
        <w:rPr>
          <w:rFonts w:ascii="Palatino Linotype" w:eastAsia="Times New Roman" w:hAnsi="Palatino Linotype" w:cs="Times New Roman" w:hint="eastAsia"/>
          <w:snapToGrid w:val="0"/>
          <w:color w:val="000000"/>
          <w:kern w:val="0"/>
          <w:sz w:val="20"/>
          <w:szCs w:val="20"/>
          <w:lang w:bidi="en-US"/>
        </w:rPr>
        <w:t>uni</w:t>
      </w:r>
      <w:proofErr w:type="spellEnd"/>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modal relationships between financial investment and performance. For instance</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it is known if you do a better job at investing you can create a form of increase in your corporate financial performance</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especially when resource constraints ex</w:t>
      </w:r>
      <w:r>
        <w:rPr>
          <w:rFonts w:ascii="Palatino Linotype" w:eastAsia="Times New Roman" w:hAnsi="Palatino Linotype" w:cs="Times New Roman" w:hint="eastAsia"/>
          <w:snapToGrid w:val="0"/>
          <w:color w:val="000000"/>
          <w:kern w:val="0"/>
          <w:sz w:val="20"/>
          <w:szCs w:val="20"/>
          <w:lang w:bidi="en-US"/>
        </w:rPr>
        <w:t>ist</w:t>
      </w:r>
      <w:r>
        <w:rPr>
          <w:rFonts w:ascii="Palatino Linotype" w:eastAsia="Times New Roman" w:hAnsi="Palatino Linotype" w:cs="Times New Roman"/>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fldChar w:fldCharType="begin"/>
      </w:r>
      <w:r>
        <w:rPr>
          <w:rFonts w:ascii="Palatino Linotype" w:eastAsia="Times New Roman" w:hAnsi="Palatino Linotype" w:cs="Times New Roman"/>
          <w:snapToGrid w:val="0"/>
          <w:color w:val="000000"/>
          <w:kern w:val="0"/>
          <w:sz w:val="20"/>
          <w:szCs w:val="20"/>
          <w:lang w:bidi="en-US"/>
        </w:rPr>
        <w:instrText xml:space="preserve"> REF _Ref702552946 \r \h </w:instrText>
      </w:r>
      <w:r>
        <w:rPr>
          <w:rFonts w:ascii="Palatino Linotype" w:eastAsia="Times New Roman" w:hAnsi="Palatino Linotype" w:cs="Times New Roman"/>
          <w:snapToGrid w:val="0"/>
          <w:color w:val="000000"/>
          <w:kern w:val="0"/>
          <w:sz w:val="20"/>
          <w:szCs w:val="20"/>
          <w:lang w:bidi="en-US"/>
        </w:rPr>
      </w:r>
      <w:r>
        <w:rPr>
          <w:rFonts w:ascii="Palatino Linotype" w:eastAsia="Times New Roman" w:hAnsi="Palatino Linotype" w:cs="Times New Roman"/>
          <w:snapToGrid w:val="0"/>
          <w:color w:val="000000"/>
          <w:kern w:val="0"/>
          <w:sz w:val="20"/>
          <w:szCs w:val="20"/>
          <w:lang w:bidi="en-US"/>
        </w:rPr>
        <w:fldChar w:fldCharType="separate"/>
      </w:r>
      <w:r>
        <w:rPr>
          <w:rFonts w:ascii="Palatino Linotype" w:eastAsia="Times New Roman" w:hAnsi="Palatino Linotype" w:cs="Times New Roman"/>
          <w:snapToGrid w:val="0"/>
          <w:color w:val="000000"/>
          <w:kern w:val="0"/>
          <w:sz w:val="20"/>
          <w:szCs w:val="20"/>
          <w:lang w:bidi="en-US"/>
        </w:rPr>
        <w:t>4</w:t>
      </w:r>
      <w:r>
        <w:rPr>
          <w:rFonts w:ascii="Palatino Linotype" w:eastAsia="Times New Roman" w:hAnsi="Palatino Linotype" w:cs="Times New Roman"/>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and the role of governance is also important </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fldChar w:fldCharType="begin"/>
      </w:r>
      <w:r>
        <w:rPr>
          <w:rFonts w:ascii="Palatino Linotype" w:eastAsia="Times New Roman" w:hAnsi="Palatino Linotype" w:cs="Times New Roman" w:hint="eastAsia"/>
          <w:snapToGrid w:val="0"/>
          <w:color w:val="000000"/>
          <w:kern w:val="0"/>
          <w:sz w:val="20"/>
          <w:szCs w:val="20"/>
          <w:lang w:bidi="en-US"/>
        </w:rPr>
        <w:instrText xml:space="preserve"> REF _Ref702788244 \r \h </w:instrText>
      </w:r>
      <w:r>
        <w:rPr>
          <w:rFonts w:ascii="Palatino Linotype" w:eastAsia="Times New Roman" w:hAnsi="Palatino Linotype" w:cs="Times New Roman" w:hint="eastAsia"/>
          <w:snapToGrid w:val="0"/>
          <w:color w:val="000000"/>
          <w:kern w:val="0"/>
          <w:sz w:val="20"/>
          <w:szCs w:val="20"/>
          <w:lang w:bidi="en-US"/>
        </w:rPr>
      </w:r>
      <w:r>
        <w:rPr>
          <w:rFonts w:ascii="Palatino Linotype" w:eastAsia="Times New Roman" w:hAnsi="Palatino Linotype" w:cs="Times New Roman" w:hint="eastAsia"/>
          <w:snapToGrid w:val="0"/>
          <w:color w:val="000000"/>
          <w:kern w:val="0"/>
          <w:sz w:val="20"/>
          <w:szCs w:val="20"/>
          <w:lang w:bidi="en-US"/>
        </w:rPr>
        <w:fldChar w:fldCharType="separate"/>
      </w:r>
      <w:r>
        <w:rPr>
          <w:rFonts w:ascii="Palatino Linotype" w:eastAsia="Times New Roman" w:hAnsi="Palatino Linotype" w:cs="Times New Roman" w:hint="eastAsia"/>
          <w:snapToGrid w:val="0"/>
          <w:color w:val="000000"/>
          <w:kern w:val="0"/>
          <w:sz w:val="20"/>
          <w:szCs w:val="20"/>
          <w:lang w:bidi="en-US"/>
        </w:rPr>
        <w:t>5</w:t>
      </w:r>
      <w:r>
        <w:rPr>
          <w:rFonts w:ascii="Palatino Linotype" w:eastAsia="Times New Roman" w:hAnsi="Palatino Linotype" w:cs="Times New Roman" w:hint="eastAsia"/>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Green investments are also better understood and lead to changes to the image of the company, and policy can act as a support for change </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fldChar w:fldCharType="begin"/>
      </w:r>
      <w:r>
        <w:rPr>
          <w:rFonts w:ascii="Palatino Linotype" w:eastAsia="Times New Roman" w:hAnsi="Palatino Linotype" w:cs="Times New Roman" w:hint="eastAsia"/>
          <w:snapToGrid w:val="0"/>
          <w:color w:val="000000"/>
          <w:kern w:val="0"/>
          <w:sz w:val="20"/>
          <w:szCs w:val="20"/>
          <w:lang w:bidi="en-US"/>
        </w:rPr>
        <w:instrText xml:space="preserve"> REF _Ref702989928 \r \h </w:instrText>
      </w:r>
      <w:r>
        <w:rPr>
          <w:rFonts w:ascii="Palatino Linotype" w:eastAsia="Times New Roman" w:hAnsi="Palatino Linotype" w:cs="Times New Roman" w:hint="eastAsia"/>
          <w:snapToGrid w:val="0"/>
          <w:color w:val="000000"/>
          <w:kern w:val="0"/>
          <w:sz w:val="20"/>
          <w:szCs w:val="20"/>
          <w:lang w:bidi="en-US"/>
        </w:rPr>
      </w:r>
      <w:r>
        <w:rPr>
          <w:rFonts w:ascii="Palatino Linotype" w:eastAsia="Times New Roman" w:hAnsi="Palatino Linotype" w:cs="Times New Roman" w:hint="eastAsia"/>
          <w:snapToGrid w:val="0"/>
          <w:color w:val="000000"/>
          <w:kern w:val="0"/>
          <w:sz w:val="20"/>
          <w:szCs w:val="20"/>
          <w:lang w:bidi="en-US"/>
        </w:rPr>
        <w:fldChar w:fldCharType="separate"/>
      </w:r>
      <w:r>
        <w:rPr>
          <w:rFonts w:ascii="Palatino Linotype" w:eastAsia="Times New Roman" w:hAnsi="Palatino Linotype" w:cs="Times New Roman" w:hint="eastAsia"/>
          <w:snapToGrid w:val="0"/>
          <w:color w:val="000000"/>
          <w:kern w:val="0"/>
          <w:sz w:val="20"/>
          <w:szCs w:val="20"/>
          <w:lang w:bidi="en-US"/>
        </w:rPr>
        <w:t>6</w:t>
      </w:r>
      <w:r>
        <w:rPr>
          <w:rFonts w:ascii="Palatino Linotype" w:eastAsia="Times New Roman" w:hAnsi="Palatino Linotype" w:cs="Times New Roman" w:hint="eastAsia"/>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R&amp;D investment has been documented as a major driver of innovation and competitiveness</w:t>
      </w:r>
      <w:r>
        <w:rPr>
          <w:rFonts w:ascii="Palatino Linotype" w:eastAsia="Times New Roman" w:hAnsi="Palatino Linotype" w:cs="Times New Roman"/>
          <w:snapToGrid w:val="0"/>
          <w:color w:val="000000"/>
          <w:kern w:val="0"/>
          <w:sz w:val="20"/>
          <w:szCs w:val="20"/>
          <w:lang w:bidi="en-US"/>
        </w:rPr>
        <w:t xml:space="preserve"> [</w:t>
      </w:r>
      <w:r>
        <w:rPr>
          <w:rFonts w:ascii="Palatino Linotype" w:eastAsia="Times New Roman" w:hAnsi="Palatino Linotype" w:cs="Times New Roman"/>
          <w:snapToGrid w:val="0"/>
          <w:color w:val="000000"/>
          <w:kern w:val="0"/>
          <w:sz w:val="20"/>
          <w:szCs w:val="20"/>
          <w:lang w:bidi="en-US"/>
        </w:rPr>
        <w:fldChar w:fldCharType="begin"/>
      </w:r>
      <w:r>
        <w:rPr>
          <w:rFonts w:ascii="Palatino Linotype" w:eastAsia="Times New Roman" w:hAnsi="Palatino Linotype" w:cs="Times New Roman"/>
          <w:snapToGrid w:val="0"/>
          <w:color w:val="000000"/>
          <w:kern w:val="0"/>
          <w:sz w:val="20"/>
          <w:szCs w:val="20"/>
          <w:lang w:bidi="en-US"/>
        </w:rPr>
        <w:instrText xml:space="preserve"> REF _Ref703174805 \r \h </w:instrText>
      </w:r>
      <w:r>
        <w:rPr>
          <w:rFonts w:ascii="Palatino Linotype" w:eastAsia="Times New Roman" w:hAnsi="Palatino Linotype" w:cs="Times New Roman"/>
          <w:snapToGrid w:val="0"/>
          <w:color w:val="000000"/>
          <w:kern w:val="0"/>
          <w:sz w:val="20"/>
          <w:szCs w:val="20"/>
          <w:lang w:bidi="en-US"/>
        </w:rPr>
      </w:r>
      <w:r>
        <w:rPr>
          <w:rFonts w:ascii="Palatino Linotype" w:eastAsia="Times New Roman" w:hAnsi="Palatino Linotype" w:cs="Times New Roman"/>
          <w:snapToGrid w:val="0"/>
          <w:color w:val="000000"/>
          <w:kern w:val="0"/>
          <w:sz w:val="20"/>
          <w:szCs w:val="20"/>
          <w:lang w:bidi="en-US"/>
        </w:rPr>
        <w:fldChar w:fldCharType="separate"/>
      </w:r>
      <w:r>
        <w:rPr>
          <w:rFonts w:ascii="Palatino Linotype" w:eastAsia="Times New Roman" w:hAnsi="Palatino Linotype" w:cs="Times New Roman"/>
          <w:snapToGrid w:val="0"/>
          <w:color w:val="000000"/>
          <w:kern w:val="0"/>
          <w:sz w:val="20"/>
          <w:szCs w:val="20"/>
          <w:lang w:bidi="en-US"/>
        </w:rPr>
        <w:t>7</w:t>
      </w:r>
      <w:r>
        <w:rPr>
          <w:rFonts w:ascii="Palatino Linotype" w:eastAsia="Times New Roman" w:hAnsi="Palatino Linotype" w:cs="Times New Roman"/>
          <w:snapToGrid w:val="0"/>
          <w:color w:val="000000"/>
          <w:kern w:val="0"/>
          <w:sz w:val="20"/>
          <w:szCs w:val="20"/>
          <w:lang w:bidi="en-US"/>
        </w:rPr>
        <w:fldChar w:fldCharType="end"/>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The limitation of this </w:t>
      </w:r>
      <w:r>
        <w:rPr>
          <w:rFonts w:ascii="Palatino Linotype" w:eastAsia="Times New Roman" w:hAnsi="Palatino Linotype" w:cs="Times New Roman" w:hint="eastAsia"/>
          <w:snapToGrid w:val="0"/>
          <w:color w:val="000000"/>
          <w:kern w:val="0"/>
          <w:sz w:val="20"/>
          <w:szCs w:val="20"/>
          <w:lang w:bidi="en-US"/>
        </w:rPr>
        <w:t xml:space="preserve">literature is that there is no </w:t>
      </w:r>
      <w:proofErr w:type="spellStart"/>
      <w:r>
        <w:rPr>
          <w:rFonts w:ascii="Palatino Linotype" w:eastAsia="Times New Roman" w:hAnsi="Palatino Linotype" w:cs="Times New Roman" w:hint="eastAsia"/>
          <w:snapToGrid w:val="0"/>
          <w:color w:val="000000"/>
          <w:kern w:val="0"/>
          <w:sz w:val="20"/>
          <w:szCs w:val="20"/>
          <w:lang w:bidi="en-US"/>
        </w:rPr>
        <w:t>uni</w:t>
      </w:r>
      <w:proofErr w:type="spellEnd"/>
      <w:r>
        <w:rPr>
          <w:rFonts w:ascii="Palatino Linotype" w:eastAsia="Times New Roman" w:hAnsi="Palatino Linotype" w:cs="Times New Roman" w:hint="eastAsia"/>
          <w:snapToGrid w:val="0"/>
          <w:color w:val="000000"/>
          <w:kern w:val="0"/>
          <w:sz w:val="20"/>
          <w:szCs w:val="20"/>
          <w:lang w:bidi="en-US"/>
        </w:rPr>
        <w:t>-modal framework regarding how those areas are linked back to each other</w:t>
      </w:r>
      <w:r>
        <w:rPr>
          <w:rFonts w:ascii="Palatino Linotype" w:eastAsia="Times New Roman" w:hAnsi="Palatino Linotype" w:cs="Times New Roman"/>
          <w:snapToGrid w:val="0"/>
          <w:color w:val="000000"/>
          <w:kern w:val="0"/>
          <w:sz w:val="20"/>
          <w:szCs w:val="20"/>
          <w:lang w:bidi="en-US"/>
        </w:rPr>
        <w:t>.</w:t>
      </w:r>
      <w:r>
        <w:rPr>
          <w:rFonts w:ascii="Palatino Linotype" w:eastAsia="Times New Roman" w:hAnsi="Palatino Linotype" w:cs="Times New Roman" w:hint="eastAsia"/>
          <w:snapToGrid w:val="0"/>
          <w:color w:val="000000"/>
          <w:kern w:val="0"/>
          <w:sz w:val="20"/>
          <w:szCs w:val="20"/>
          <w:lang w:bidi="en-US"/>
        </w:rPr>
        <w:t xml:space="preserve"> This paper extends investment decision theory, distinguishing not just financial investments, green investments, innovation investments and supply c</w:t>
      </w:r>
      <w:r>
        <w:rPr>
          <w:rFonts w:ascii="Palatino Linotype" w:eastAsia="Times New Roman" w:hAnsi="Palatino Linotype" w:cs="Times New Roman" w:hint="eastAsia"/>
          <w:snapToGrid w:val="0"/>
          <w:color w:val="000000"/>
          <w:kern w:val="0"/>
          <w:sz w:val="20"/>
          <w:szCs w:val="20"/>
          <w:lang w:bidi="en-US"/>
        </w:rPr>
        <w:t>hain investments as investment activity, but the entire system as an investment opportunity. It lays the theoretical foundation for understanding how a portfolio of investments creates synergistic effects larger than the sum of its parts, which is the basi</w:t>
      </w:r>
      <w:r>
        <w:rPr>
          <w:rFonts w:ascii="Palatino Linotype" w:eastAsia="Times New Roman" w:hAnsi="Palatino Linotype" w:cs="Times New Roman" w:hint="eastAsia"/>
          <w:snapToGrid w:val="0"/>
          <w:color w:val="000000"/>
          <w:kern w:val="0"/>
          <w:sz w:val="20"/>
          <w:szCs w:val="20"/>
          <w:lang w:bidi="en-US"/>
        </w:rPr>
        <w:t>s for going beyond the rational management of performance.</w:t>
      </w:r>
    </w:p>
    <w:p w14:paraId="43346DDE" w14:textId="77777777" w:rsidR="00624AAA" w:rsidRDefault="00C46345">
      <w:pPr>
        <w:pStyle w:val="MDPI22heading2"/>
        <w:spacing w:before="240"/>
        <w:ind w:left="0"/>
      </w:pPr>
      <w:r>
        <w:rPr>
          <w:rFonts w:hint="eastAsia"/>
        </w:rPr>
        <w:t>2.2. The Resource-Based View (RBV): From competitive advantage to an equilibrium horizon</w:t>
      </w:r>
    </w:p>
    <w:p w14:paraId="4D67B86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 xml:space="preserve">The RBV theory indicates that a firm's internal configuration of special resources and capabilities </w:t>
      </w:r>
      <w:r>
        <w:rPr>
          <w:rFonts w:ascii="Palatino Linotype" w:eastAsia="Times New Roman" w:hAnsi="Palatino Linotype" w:cs="Times New Roman"/>
          <w:snapToGrid w:val="0"/>
          <w:color w:val="000000"/>
          <w:kern w:val="0"/>
          <w:sz w:val="20"/>
          <w:szCs w:val="21"/>
          <w:lang w:bidi="en-US"/>
        </w:rPr>
        <w:t>is</w:t>
      </w:r>
      <w:r>
        <w:rPr>
          <w:rFonts w:ascii="Palatino Linotype" w:eastAsia="Times New Roman" w:hAnsi="Palatino Linotype" w:cs="Times New Roman" w:hint="eastAsia"/>
          <w:snapToGrid w:val="0"/>
          <w:color w:val="000000"/>
          <w:kern w:val="0"/>
          <w:sz w:val="20"/>
          <w:szCs w:val="21"/>
          <w:lang w:bidi="en-US"/>
        </w:rPr>
        <w:t xml:space="preserve"> the p</w:t>
      </w:r>
      <w:r>
        <w:rPr>
          <w:rFonts w:ascii="Palatino Linotype" w:eastAsia="Times New Roman" w:hAnsi="Palatino Linotype" w:cs="Times New Roman" w:hint="eastAsia"/>
          <w:snapToGrid w:val="0"/>
          <w:color w:val="000000"/>
          <w:kern w:val="0"/>
          <w:sz w:val="20"/>
          <w:szCs w:val="21"/>
          <w:lang w:bidi="en-US"/>
        </w:rPr>
        <w:t>rimary driver of its performance. RBV is usually applied to describe how firms provide value under some market condition through using resources (i.e.</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capital, technology, reputation</w:t>
      </w:r>
      <w:r>
        <w:rPr>
          <w:rFonts w:ascii="Palatino Linotype" w:eastAsia="Times New Roman" w:hAnsi="Palatino Linotype" w:cs="Times New Roman"/>
          <w:snapToGrid w:val="0"/>
          <w:color w:val="000000"/>
          <w:kern w:val="0"/>
          <w:sz w:val="20"/>
          <w:szCs w:val="21"/>
          <w:lang w:bidi="en-US"/>
        </w:rPr>
        <w:t xml:space="preserve"> and</w:t>
      </w:r>
      <w:r>
        <w:rPr>
          <w:rFonts w:ascii="Palatino Linotype" w:eastAsia="Times New Roman" w:hAnsi="Palatino Linotype" w:cs="Times New Roman" w:hint="eastAsia"/>
          <w:snapToGrid w:val="0"/>
          <w:color w:val="000000"/>
          <w:kern w:val="0"/>
          <w:sz w:val="20"/>
          <w:szCs w:val="21"/>
          <w:lang w:bidi="en-US"/>
        </w:rPr>
        <w:t xml:space="preserve"> brand name). RBV has been used to conceptualize green initiatives as</w:t>
      </w:r>
      <w:r>
        <w:rPr>
          <w:rFonts w:ascii="Palatino Linotype" w:eastAsia="Times New Roman" w:hAnsi="Palatino Linotype" w:cs="Times New Roman" w:hint="eastAsia"/>
          <w:snapToGrid w:val="0"/>
          <w:color w:val="000000"/>
          <w:kern w:val="0"/>
          <w:sz w:val="20"/>
          <w:szCs w:val="21"/>
          <w:lang w:bidi="en-US"/>
        </w:rPr>
        <w:t xml:space="preserve"> a special strategic resource offering some competitive difference</w:t>
      </w:r>
      <w:r>
        <w:rPr>
          <w:rFonts w:ascii="Palatino Linotype" w:eastAsia="Times New Roman" w:hAnsi="Palatino Linotype" w:cs="Times New Roman"/>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_Ref703460524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8</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and R&amp;D as the mechanism for addressing and maintaining a technology differential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_Ref703645401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9</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This paper recasts the application of RBV. Instead of applying the framewor</w:t>
      </w:r>
      <w:r>
        <w:rPr>
          <w:rFonts w:ascii="Palatino Linotype" w:eastAsia="Times New Roman" w:hAnsi="Palatino Linotype" w:cs="Times New Roman" w:hint="eastAsia"/>
          <w:snapToGrid w:val="0"/>
          <w:color w:val="000000"/>
          <w:kern w:val="0"/>
          <w:sz w:val="20"/>
          <w:szCs w:val="21"/>
          <w:lang w:bidi="en-US"/>
        </w:rPr>
        <w:t>k of overcoming competitors as a goal, we are considering the internal problem of investing resources in the presence of scarcity. The main motivation is when considering the internal allocation of resources in the current economic setting</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the focus is no</w:t>
      </w:r>
      <w:r>
        <w:rPr>
          <w:rFonts w:ascii="Palatino Linotype" w:eastAsia="Times New Roman" w:hAnsi="Palatino Linotype" w:cs="Times New Roman" w:hint="eastAsia"/>
          <w:snapToGrid w:val="0"/>
          <w:color w:val="000000"/>
          <w:kern w:val="0"/>
          <w:sz w:val="20"/>
          <w:szCs w:val="21"/>
          <w:lang w:bidi="en-US"/>
        </w:rPr>
        <w:t>t on creating competitive advantage</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it is on achieving dynamic equilibrium and synergy across a firms four core operational pillars; financial viability, environmental viability, innovativeness, and supply chain capabilities. This provides the theoretical</w:t>
      </w:r>
      <w:r>
        <w:rPr>
          <w:rFonts w:ascii="Palatino Linotype" w:eastAsia="Times New Roman" w:hAnsi="Palatino Linotype" w:cs="Times New Roman" w:hint="eastAsia"/>
          <w:snapToGrid w:val="0"/>
          <w:color w:val="000000"/>
          <w:kern w:val="0"/>
          <w:sz w:val="20"/>
          <w:szCs w:val="21"/>
          <w:lang w:bidi="en-US"/>
        </w:rPr>
        <w:t xml:space="preserve"> rationale for investigating rational allocation of resources in building internal coherence and resiliency for progressively sustainable functionality.</w:t>
      </w:r>
    </w:p>
    <w:p w14:paraId="1F198688" w14:textId="77777777" w:rsidR="00624AAA" w:rsidRDefault="00C46345">
      <w:pPr>
        <w:pStyle w:val="MDPI22heading2"/>
        <w:spacing w:before="240"/>
        <w:ind w:left="0"/>
      </w:pPr>
      <w:r>
        <w:rPr>
          <w:rFonts w:hint="eastAsia"/>
        </w:rPr>
        <w:t>2.3. The Going Concern Theory: The case for integrated management</w:t>
      </w:r>
    </w:p>
    <w:p w14:paraId="314ADDB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The going concern assumption is a fun</w:t>
      </w:r>
      <w:r>
        <w:rPr>
          <w:rFonts w:ascii="Palatino Linotype" w:eastAsia="Times New Roman" w:hAnsi="Palatino Linotype" w:cs="Times New Roman" w:hint="eastAsia"/>
          <w:snapToGrid w:val="0"/>
          <w:color w:val="000000"/>
          <w:kern w:val="0"/>
          <w:sz w:val="20"/>
          <w:szCs w:val="21"/>
          <w:lang w:bidi="en-US"/>
        </w:rPr>
        <w:t>damental accounting assumption indicating an enterprise is a going concern for the indefinite future. It is the most rigorously defined explanation of our study</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as it is the lowest rung on the ladder at which a sustainable operation is a requisite for sur</w:t>
      </w:r>
      <w:r>
        <w:rPr>
          <w:rFonts w:ascii="Palatino Linotype" w:eastAsia="Times New Roman" w:hAnsi="Palatino Linotype" w:cs="Times New Roman" w:hint="eastAsia"/>
          <w:snapToGrid w:val="0"/>
          <w:color w:val="000000"/>
          <w:kern w:val="0"/>
          <w:sz w:val="20"/>
          <w:szCs w:val="21"/>
          <w:lang w:bidi="en-US"/>
        </w:rPr>
        <w:t>vival. Getting the going concern status requires not just short-term profits, but persistently self-regulating the viability of the firm across multiple contingencies. The previous literature reviewed provides support for this framework, because stable ope</w:t>
      </w:r>
      <w:r>
        <w:rPr>
          <w:rFonts w:ascii="Palatino Linotype" w:eastAsia="Times New Roman" w:hAnsi="Palatino Linotype" w:cs="Times New Roman" w:hint="eastAsia"/>
          <w:snapToGrid w:val="0"/>
          <w:color w:val="000000"/>
          <w:kern w:val="0"/>
          <w:sz w:val="20"/>
          <w:szCs w:val="21"/>
          <w:lang w:bidi="en-US"/>
        </w:rPr>
        <w:t xml:space="preserve">rations are contingent on stable financial states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_Ref703914313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10</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the long-term economic and social value of green development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_Ref704132804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11</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the perpetual source of inspiration from R&amp;D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_Ref704368102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12</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and competencies in supply chain management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_Ref704569786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13</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The going concern theory captures the reinforcing nature of </w:t>
      </w:r>
      <w:r>
        <w:rPr>
          <w:rFonts w:ascii="Palatino Linotype" w:eastAsia="Times New Roman" w:hAnsi="Palatino Linotype" w:cs="Times New Roman" w:hint="eastAsia"/>
          <w:snapToGrid w:val="0"/>
          <w:color w:val="000000"/>
          <w:kern w:val="0"/>
          <w:sz w:val="20"/>
          <w:szCs w:val="21"/>
          <w:lang w:bidi="en-US"/>
        </w:rPr>
        <w:t>the contingencies. A major breakdown in one operation, like a supply chain breakdown, or a loss of innovativeness, can threaten the entire enterprise. In this way, Going Concern Theory formulated in this paper is a premise argument for integrated managemen</w:t>
      </w:r>
      <w:r>
        <w:rPr>
          <w:rFonts w:ascii="Palatino Linotype" w:eastAsia="Times New Roman" w:hAnsi="Palatino Linotype" w:cs="Times New Roman" w:hint="eastAsia"/>
          <w:snapToGrid w:val="0"/>
          <w:color w:val="000000"/>
          <w:kern w:val="0"/>
          <w:sz w:val="20"/>
          <w:szCs w:val="21"/>
          <w:lang w:bidi="en-US"/>
        </w:rPr>
        <w:t>t. Long-term enterprise viability depends on moving beyond functional silos. This requires the strategic integration of financial, green, innovation, and supply chain activities. The objective is to build a resilient operational system with embedded strate</w:t>
      </w:r>
      <w:r>
        <w:rPr>
          <w:rFonts w:ascii="Palatino Linotype" w:eastAsia="Times New Roman" w:hAnsi="Palatino Linotype" w:cs="Times New Roman" w:hint="eastAsia"/>
          <w:snapToGrid w:val="0"/>
          <w:color w:val="000000"/>
          <w:kern w:val="0"/>
          <w:sz w:val="20"/>
          <w:szCs w:val="21"/>
          <w:lang w:bidi="en-US"/>
        </w:rPr>
        <w:t>gic redundancy.</w:t>
      </w:r>
    </w:p>
    <w:p w14:paraId="20283B7A" w14:textId="77777777" w:rsidR="00624AAA" w:rsidRDefault="00C46345">
      <w:pPr>
        <w:pStyle w:val="MDPI21heading1"/>
        <w:ind w:left="0"/>
        <w:rPr>
          <w:color w:val="auto"/>
          <w:szCs w:val="24"/>
          <w:lang w:eastAsia="zh-CN"/>
        </w:rPr>
      </w:pPr>
      <w:r>
        <w:rPr>
          <w:lang w:eastAsia="zh-CN"/>
        </w:rPr>
        <w:t>3. Research Design and Methodology</w:t>
      </w:r>
      <w:r>
        <w:rPr>
          <w:color w:val="auto"/>
          <w:szCs w:val="24"/>
          <w:lang w:eastAsia="zh-CN"/>
        </w:rPr>
        <w:t xml:space="preserve"> </w:t>
      </w:r>
    </w:p>
    <w:p w14:paraId="427E7F2D" w14:textId="77777777" w:rsidR="00624AAA" w:rsidRDefault="00C46345">
      <w:pPr>
        <w:pStyle w:val="MDPI22heading2"/>
        <w:spacing w:before="240"/>
        <w:ind w:left="0"/>
      </w:pPr>
      <w:r>
        <w:lastRenderedPageBreak/>
        <w:t>3.1. Rationale for Using Machine Learning</w:t>
      </w:r>
    </w:p>
    <w:p w14:paraId="09E1C29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purpose of this study is to predict sustainable operation within organizations through a model of the complex interrelationships between financial performance</w:t>
      </w:r>
      <w:r>
        <w:rPr>
          <w:rFonts w:ascii="Palatino Linotype" w:eastAsia="Times New Roman" w:hAnsi="Palatino Linotype" w:cs="Times New Roman"/>
          <w:snapToGrid w:val="0"/>
          <w:color w:val="000000"/>
          <w:kern w:val="0"/>
          <w:sz w:val="20"/>
          <w:szCs w:val="21"/>
          <w:lang w:bidi="en-US"/>
        </w:rPr>
        <w:t>, green development, R&amp;D and supply chain management. Traditional econometric methods are not suited to this analysis because of linear assumptions and endogeneity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_Ref704855505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14</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xml:space="preserve">], which restrict predictive capability. Although econometric models are useful to describe the phenomenon, Machine Learning (ML) can provide an avenue for prediction that utilizes models specifically designed to identify complex non-linear </w:t>
      </w:r>
      <w:r>
        <w:rPr>
          <w:rFonts w:ascii="Palatino Linotype" w:eastAsia="Times New Roman" w:hAnsi="Palatino Linotype" w:cs="Times New Roman"/>
          <w:snapToGrid w:val="0"/>
          <w:color w:val="000000"/>
          <w:kern w:val="0"/>
          <w:sz w:val="20"/>
          <w:szCs w:val="21"/>
          <w:lang w:bidi="en-US"/>
        </w:rPr>
        <w:t>patterns and interactions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_Ref705124417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15</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which enhances predictive generalization beyond a given sample.</w:t>
      </w:r>
    </w:p>
    <w:p w14:paraId="34F3854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We employ a comparison of five ML models to measure the most predic</w:t>
      </w:r>
      <w:r>
        <w:rPr>
          <w:rFonts w:ascii="Palatino Linotype" w:eastAsia="Times New Roman" w:hAnsi="Palatino Linotype" w:cs="Times New Roman"/>
          <w:snapToGrid w:val="0"/>
          <w:color w:val="000000"/>
          <w:kern w:val="0"/>
          <w:sz w:val="20"/>
          <w:szCs w:val="21"/>
          <w:lang w:bidi="en-US"/>
        </w:rPr>
        <w:t xml:space="preserve">tive framework. This study employs a logistic regression baseline, a Decision Tree with no assumptions of linearity, and three advanced ensemble models, Random Forest, Gradient Boosting Regression Trees (GBRT) and </w:t>
      </w:r>
      <w:proofErr w:type="spellStart"/>
      <w:r>
        <w:rPr>
          <w:rFonts w:ascii="Palatino Linotype" w:eastAsia="Times New Roman" w:hAnsi="Palatino Linotype" w:cs="Times New Roman"/>
          <w:snapToGrid w:val="0"/>
          <w:color w:val="000000"/>
          <w:kern w:val="0"/>
          <w:sz w:val="20"/>
          <w:szCs w:val="21"/>
          <w:lang w:bidi="en-US"/>
        </w:rPr>
        <w:t>XGBoost</w:t>
      </w:r>
      <w:proofErr w:type="spellEnd"/>
      <w:r>
        <w:rPr>
          <w:rFonts w:ascii="Palatino Linotype" w:eastAsia="Times New Roman" w:hAnsi="Palatino Linotype" w:cs="Times New Roman"/>
          <w:snapToGrid w:val="0"/>
          <w:color w:val="000000"/>
          <w:kern w:val="0"/>
          <w:sz w:val="20"/>
          <w:szCs w:val="21"/>
          <w:lang w:bidi="en-US"/>
        </w:rPr>
        <w:t>. The multi-model methodology allow</w:t>
      </w:r>
      <w:r>
        <w:rPr>
          <w:rFonts w:ascii="Palatino Linotype" w:eastAsia="Times New Roman" w:hAnsi="Palatino Linotype" w:cs="Times New Roman"/>
          <w:snapToGrid w:val="0"/>
          <w:color w:val="000000"/>
          <w:kern w:val="0"/>
          <w:sz w:val="20"/>
          <w:szCs w:val="21"/>
          <w:lang w:bidi="en-US"/>
        </w:rPr>
        <w:t>s for a comparison of model performance across operational complexity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_Ref705914346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16</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p>
    <w:p w14:paraId="7D4DE8B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This approach ultimately enables a concurrent review from the superior predictive power</w:t>
      </w:r>
      <w:r>
        <w:rPr>
          <w:rFonts w:ascii="Palatino Linotype" w:eastAsia="Times New Roman" w:hAnsi="Palatino Linotype" w:cs="Times New Roman"/>
          <w:snapToGrid w:val="0"/>
          <w:color w:val="000000"/>
          <w:kern w:val="0"/>
          <w:sz w:val="20"/>
          <w:szCs w:val="21"/>
          <w:lang w:bidi="en-US"/>
        </w:rPr>
        <w:t xml:space="preserve"> of the ensemble methods to the interpretability of simpler models. This way we developed a robust, high-performing, understandable model framework for predicting corporate sustainability, while tackling the limitations faced by previous studies and offeri</w:t>
      </w:r>
      <w:r>
        <w:rPr>
          <w:rFonts w:ascii="Palatino Linotype" w:eastAsia="Times New Roman" w:hAnsi="Palatino Linotype" w:cs="Times New Roman"/>
          <w:snapToGrid w:val="0"/>
          <w:color w:val="000000"/>
          <w:kern w:val="0"/>
          <w:sz w:val="20"/>
          <w:szCs w:val="21"/>
          <w:lang w:bidi="en-US"/>
        </w:rPr>
        <w:t>ng a stronger lens for The Selection and Specification of Models.</w:t>
      </w:r>
    </w:p>
    <w:p w14:paraId="30E6679D"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p w14:paraId="1221BA7E" w14:textId="77777777" w:rsidR="00624AAA" w:rsidRDefault="00C46345">
      <w:pPr>
        <w:pStyle w:val="MDPI22heading2"/>
        <w:spacing w:before="240"/>
        <w:ind w:left="0"/>
      </w:pPr>
      <w:r>
        <w:t>3.</w:t>
      </w:r>
      <w:r>
        <w:rPr>
          <w:rFonts w:hint="eastAsia"/>
          <w:lang w:eastAsia="zh-CN"/>
        </w:rPr>
        <w:t>2</w:t>
      </w:r>
      <w:r>
        <w:t>. Model Building and Variables</w:t>
      </w:r>
    </w:p>
    <w:p w14:paraId="32FC400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Our models utilize the predictive capacities of four operational dimensions considered relevant in the context of corporate sustainable development. The le</w:t>
      </w:r>
      <w:r>
        <w:rPr>
          <w:rFonts w:ascii="Palatino Linotype" w:eastAsia="Times New Roman" w:hAnsi="Palatino Linotype" w:cs="Times New Roman"/>
          <w:snapToGrid w:val="0"/>
          <w:color w:val="000000"/>
          <w:kern w:val="0"/>
          <w:sz w:val="20"/>
          <w:szCs w:val="21"/>
          <w:lang w:bidi="en-US"/>
        </w:rPr>
        <w:t>vel of sustainable development is the dependent variable and is operationalized with two established indicators of the Sustainable Growth Rate (SGR) and Profit Volatility (PV).</w:t>
      </w:r>
    </w:p>
    <w:p w14:paraId="1232091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To account for the contribution of each of the dimensions, we will produce five</w:t>
      </w:r>
      <w:r>
        <w:rPr>
          <w:rFonts w:ascii="Palatino Linotype" w:eastAsia="Times New Roman" w:hAnsi="Palatino Linotype" w:cs="Times New Roman"/>
          <w:snapToGrid w:val="0"/>
          <w:color w:val="000000"/>
          <w:kern w:val="0"/>
          <w:sz w:val="20"/>
          <w:szCs w:val="21"/>
          <w:lang w:bidi="en-US"/>
        </w:rPr>
        <w:t xml:space="preserve"> distinct models. The first is a Benchmark Model constructed with ten moderately general firm-level variables (e.g., size, age, leverage, state-owned). Then four subsequent topical models will be made by progressively adding some attributes of the set of p</w:t>
      </w:r>
      <w:r>
        <w:rPr>
          <w:rFonts w:ascii="Palatino Linotype" w:eastAsia="Times New Roman" w:hAnsi="Palatino Linotype" w:cs="Times New Roman"/>
          <w:snapToGrid w:val="0"/>
          <w:color w:val="000000"/>
          <w:kern w:val="0"/>
          <w:sz w:val="20"/>
          <w:szCs w:val="21"/>
          <w:lang w:bidi="en-US"/>
        </w:rPr>
        <w:t>redictive attributes:</w:t>
      </w:r>
      <w:r>
        <w:rPr>
          <w:rFonts w:ascii="Palatino Linotype" w:eastAsia="Times New Roman" w:hAnsi="Palatino Linotype" w:cs="Times New Roman" w:hint="eastAsia"/>
          <w:snapToGrid w:val="0"/>
          <w:color w:val="000000"/>
          <w:kern w:val="0"/>
          <w:sz w:val="20"/>
          <w:szCs w:val="21"/>
          <w:lang w:bidi="en-US"/>
        </w:rPr>
        <w:t>（1）</w:t>
      </w:r>
      <w:r>
        <w:rPr>
          <w:rFonts w:ascii="Palatino Linotype" w:eastAsia="Times New Roman" w:hAnsi="Palatino Linotype" w:cs="Times New Roman"/>
          <w:snapToGrid w:val="0"/>
          <w:color w:val="000000"/>
          <w:kern w:val="0"/>
          <w:sz w:val="20"/>
          <w:szCs w:val="21"/>
          <w:lang w:bidi="en-US"/>
        </w:rPr>
        <w:t>Financial Performance Model (F): the attributes pertaining to profitability, cash flow and operational turnover.</w:t>
      </w:r>
      <w:r>
        <w:rPr>
          <w:rFonts w:ascii="Palatino Linotype" w:eastAsia="Times New Roman" w:hAnsi="Palatino Linotype" w:cs="Times New Roman" w:hint="eastAsia"/>
          <w:snapToGrid w:val="0"/>
          <w:color w:val="000000"/>
          <w:kern w:val="0"/>
          <w:sz w:val="20"/>
          <w:szCs w:val="21"/>
          <w:lang w:bidi="en-US"/>
        </w:rPr>
        <w:t>（2）</w:t>
      </w:r>
      <w:r>
        <w:rPr>
          <w:rFonts w:ascii="Palatino Linotype" w:eastAsia="Times New Roman" w:hAnsi="Palatino Linotype" w:cs="Times New Roman"/>
          <w:snapToGrid w:val="0"/>
          <w:color w:val="000000"/>
          <w:kern w:val="0"/>
          <w:sz w:val="20"/>
          <w:szCs w:val="21"/>
          <w:lang w:bidi="en-US"/>
        </w:rPr>
        <w:t xml:space="preserve">Green Development Model (E): the attributes to do with green investments, environmental management systems, and </w:t>
      </w:r>
      <w:r>
        <w:rPr>
          <w:rFonts w:ascii="Palatino Linotype" w:eastAsia="Times New Roman" w:hAnsi="Palatino Linotype" w:cs="Times New Roman"/>
          <w:snapToGrid w:val="0"/>
          <w:color w:val="000000"/>
          <w:kern w:val="0"/>
          <w:sz w:val="20"/>
          <w:szCs w:val="21"/>
          <w:lang w:bidi="en-US"/>
        </w:rPr>
        <w:t>green patenting.</w:t>
      </w:r>
      <w:r>
        <w:rPr>
          <w:rFonts w:ascii="Palatino Linotype" w:eastAsia="Times New Roman" w:hAnsi="Palatino Linotype" w:cs="Times New Roman" w:hint="eastAsia"/>
          <w:snapToGrid w:val="0"/>
          <w:color w:val="000000"/>
          <w:kern w:val="0"/>
          <w:sz w:val="20"/>
          <w:szCs w:val="21"/>
          <w:lang w:bidi="en-US"/>
        </w:rPr>
        <w:t>（3）</w:t>
      </w:r>
      <w:r>
        <w:rPr>
          <w:rFonts w:ascii="Palatino Linotype" w:eastAsia="Times New Roman" w:hAnsi="Palatino Linotype" w:cs="Times New Roman"/>
          <w:snapToGrid w:val="0"/>
          <w:color w:val="000000"/>
          <w:kern w:val="0"/>
          <w:sz w:val="20"/>
          <w:szCs w:val="21"/>
          <w:lang w:bidi="en-US"/>
        </w:rPr>
        <w:t>R&amp;D Investment Model (R): the aspects of R&amp;D spending, R&amp;D personnel and R&amp;D outputs.</w:t>
      </w:r>
      <w:r>
        <w:rPr>
          <w:rFonts w:ascii="Palatino Linotype" w:eastAsia="Times New Roman" w:hAnsi="Palatino Linotype" w:cs="Times New Roman" w:hint="eastAsia"/>
          <w:snapToGrid w:val="0"/>
          <w:color w:val="000000"/>
          <w:kern w:val="0"/>
          <w:sz w:val="20"/>
          <w:szCs w:val="21"/>
          <w:lang w:bidi="en-US"/>
        </w:rPr>
        <w:t>（4）</w:t>
      </w:r>
      <w:r>
        <w:rPr>
          <w:rFonts w:ascii="Palatino Linotype" w:eastAsia="Times New Roman" w:hAnsi="Palatino Linotype" w:cs="Times New Roman"/>
          <w:snapToGrid w:val="0"/>
          <w:color w:val="000000"/>
          <w:kern w:val="0"/>
          <w:sz w:val="20"/>
          <w:szCs w:val="21"/>
          <w:lang w:bidi="en-US"/>
        </w:rPr>
        <w:t>Supply Chain Management Model (S): the attributes related to supplier and customer concentration and asset turnover cycles. This allows us to then sy</w:t>
      </w:r>
      <w:r>
        <w:rPr>
          <w:rFonts w:ascii="Palatino Linotype" w:eastAsia="Times New Roman" w:hAnsi="Palatino Linotype" w:cs="Times New Roman"/>
          <w:snapToGrid w:val="0"/>
          <w:color w:val="000000"/>
          <w:kern w:val="0"/>
          <w:sz w:val="20"/>
          <w:szCs w:val="21"/>
          <w:lang w:bidi="en-US"/>
        </w:rPr>
        <w:t>stematically assess the relative predictive power of each strategic dimension above and beyond the original firm attributes.</w:t>
      </w:r>
    </w:p>
    <w:p w14:paraId="249487EF" w14:textId="77777777" w:rsidR="00624AAA" w:rsidRDefault="00624AAA"/>
    <w:p w14:paraId="712FB2F7" w14:textId="77777777" w:rsidR="00624AAA" w:rsidRDefault="00C46345">
      <w:pPr>
        <w:pStyle w:val="MDPI41tablecaption"/>
        <w:ind w:left="0"/>
        <w:rPr>
          <w:rFonts w:ascii="Times New Roman" w:eastAsia="SimSun" w:hAnsi="Times New Roman" w:cs="Times New Roman"/>
          <w:color w:val="auto"/>
          <w:sz w:val="24"/>
          <w:szCs w:val="24"/>
          <w:lang w:eastAsia="zh-CN"/>
        </w:rPr>
      </w:pPr>
      <w:r>
        <w:rPr>
          <w:b/>
          <w:lang w:eastAsia="zh-CN"/>
        </w:rPr>
        <w:t xml:space="preserve">Table 1. </w:t>
      </w:r>
      <w:r>
        <w:rPr>
          <w:bCs/>
          <w:lang w:eastAsia="zh-CN"/>
        </w:rPr>
        <w:t>Model construction</w:t>
      </w:r>
    </w:p>
    <w:tbl>
      <w:tblPr>
        <w:tblStyle w:val="TableGrid"/>
        <w:tblW w:w="0" w:type="auto"/>
        <w:tblLook w:val="04A0" w:firstRow="1" w:lastRow="0" w:firstColumn="1" w:lastColumn="0" w:noHBand="0" w:noVBand="1"/>
      </w:tblPr>
      <w:tblGrid>
        <w:gridCol w:w="1314"/>
        <w:gridCol w:w="1114"/>
        <w:gridCol w:w="5878"/>
      </w:tblGrid>
      <w:tr w:rsidR="00624AAA" w14:paraId="2BB3332A" w14:textId="77777777">
        <w:tc>
          <w:tcPr>
            <w:tcW w:w="1824" w:type="dxa"/>
            <w:tcBorders>
              <w:top w:val="single" w:sz="12" w:space="0" w:color="000000"/>
              <w:left w:val="nil"/>
              <w:bottom w:val="single" w:sz="4" w:space="0" w:color="000000"/>
              <w:right w:val="nil"/>
              <w:tl2br w:val="nil"/>
            </w:tcBorders>
            <w:shd w:val="clear" w:color="auto" w:fill="FFFFFF"/>
          </w:tcPr>
          <w:p w14:paraId="4DF1911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Variable to be predicted</w:t>
            </w:r>
          </w:p>
        </w:tc>
        <w:tc>
          <w:tcPr>
            <w:tcW w:w="1740" w:type="dxa"/>
            <w:tcBorders>
              <w:top w:val="single" w:sz="12" w:space="0" w:color="000000"/>
              <w:left w:val="nil"/>
              <w:bottom w:val="single" w:sz="4" w:space="0" w:color="000000"/>
              <w:right w:val="nil"/>
            </w:tcBorders>
            <w:shd w:val="clear" w:color="auto" w:fill="FFFFFF"/>
          </w:tcPr>
          <w:p w14:paraId="4757CD7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Model</w:t>
            </w:r>
          </w:p>
        </w:tc>
        <w:tc>
          <w:tcPr>
            <w:tcW w:w="4958" w:type="dxa"/>
            <w:tcBorders>
              <w:top w:val="single" w:sz="12" w:space="0" w:color="000000"/>
              <w:left w:val="nil"/>
              <w:bottom w:val="single" w:sz="4" w:space="0" w:color="000000"/>
              <w:right w:val="nil"/>
            </w:tcBorders>
            <w:shd w:val="clear" w:color="auto" w:fill="FFFFFF"/>
          </w:tcPr>
          <w:p w14:paraId="0E71105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predictive variable</w:t>
            </w:r>
          </w:p>
          <w:p w14:paraId="228D8EFD"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r>
      <w:tr w:rsidR="00624AAA" w14:paraId="231952CF" w14:textId="77777777">
        <w:trPr>
          <w:trHeight w:val="287"/>
        </w:trPr>
        <w:tc>
          <w:tcPr>
            <w:tcW w:w="1824" w:type="dxa"/>
            <w:vMerge w:val="restart"/>
            <w:tcBorders>
              <w:top w:val="single" w:sz="4" w:space="0" w:color="000000"/>
              <w:left w:val="nil"/>
              <w:bottom w:val="nil"/>
              <w:right w:val="nil"/>
            </w:tcBorders>
            <w:shd w:val="clear" w:color="auto" w:fill="FFFFFF"/>
            <w:vAlign w:val="center"/>
          </w:tcPr>
          <w:p w14:paraId="14BE8F0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sustainable growth </w:t>
            </w:r>
            <w:proofErr w:type="spellStart"/>
            <w:r>
              <w:rPr>
                <w:rFonts w:ascii="Palatino Linotype" w:eastAsia="Times New Roman" w:hAnsi="Palatino Linotype" w:cs="Times New Roman"/>
                <w:snapToGrid w:val="0"/>
                <w:color w:val="000000"/>
                <w:kern w:val="0"/>
                <w:sz w:val="20"/>
                <w:szCs w:val="21"/>
                <w:lang w:bidi="en-US"/>
              </w:rPr>
              <w:t>rate（SGR</w:t>
            </w:r>
            <w:proofErr w:type="spellEnd"/>
            <w:r>
              <w:rPr>
                <w:rFonts w:ascii="Palatino Linotype" w:eastAsia="Times New Roman" w:hAnsi="Palatino Linotype" w:cs="Times New Roman"/>
                <w:snapToGrid w:val="0"/>
                <w:color w:val="000000"/>
                <w:kern w:val="0"/>
                <w:sz w:val="20"/>
                <w:szCs w:val="21"/>
                <w:lang w:bidi="en-US"/>
              </w:rPr>
              <w:t>）</w:t>
            </w:r>
          </w:p>
          <w:p w14:paraId="6D81BEE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Volatility of </w:t>
            </w:r>
            <w:proofErr w:type="spellStart"/>
            <w:r>
              <w:rPr>
                <w:rFonts w:ascii="Palatino Linotype" w:eastAsia="Times New Roman" w:hAnsi="Palatino Linotype" w:cs="Times New Roman"/>
                <w:snapToGrid w:val="0"/>
                <w:color w:val="000000"/>
                <w:kern w:val="0"/>
                <w:sz w:val="20"/>
                <w:szCs w:val="21"/>
                <w:lang w:bidi="en-US"/>
              </w:rPr>
              <w:t>earnings（PV</w:t>
            </w:r>
            <w:proofErr w:type="spellEnd"/>
            <w:r>
              <w:rPr>
                <w:rFonts w:ascii="Palatino Linotype" w:eastAsia="Times New Roman" w:hAnsi="Palatino Linotype" w:cs="Times New Roman"/>
                <w:snapToGrid w:val="0"/>
                <w:color w:val="000000"/>
                <w:kern w:val="0"/>
                <w:sz w:val="20"/>
                <w:szCs w:val="21"/>
                <w:lang w:bidi="en-US"/>
              </w:rPr>
              <w:t>）</w:t>
            </w:r>
          </w:p>
        </w:tc>
        <w:tc>
          <w:tcPr>
            <w:tcW w:w="1740" w:type="dxa"/>
            <w:tcBorders>
              <w:top w:val="single" w:sz="4" w:space="0" w:color="000000"/>
              <w:left w:val="nil"/>
              <w:bottom w:val="nil"/>
              <w:right w:val="nil"/>
            </w:tcBorders>
            <w:shd w:val="clear" w:color="auto" w:fill="FFFFFF"/>
          </w:tcPr>
          <w:p w14:paraId="2586A3E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Financial performance </w:t>
            </w:r>
            <w:proofErr w:type="spellStart"/>
            <w:r>
              <w:rPr>
                <w:rFonts w:ascii="Palatino Linotype" w:eastAsia="Times New Roman" w:hAnsi="Palatino Linotype" w:cs="Times New Roman"/>
                <w:snapToGrid w:val="0"/>
                <w:color w:val="000000"/>
                <w:kern w:val="0"/>
                <w:sz w:val="20"/>
                <w:szCs w:val="21"/>
                <w:lang w:bidi="en-US"/>
              </w:rPr>
              <w:t>model</w:t>
            </w:r>
            <w:r>
              <w:rPr>
                <w:rFonts w:ascii="Palatino Linotype" w:eastAsia="Times New Roman" w:hAnsi="Palatino Linotype" w:cs="Times New Roman" w:hint="eastAsia"/>
                <w:snapToGrid w:val="0"/>
                <w:color w:val="000000"/>
                <w:kern w:val="0"/>
                <w:sz w:val="20"/>
                <w:szCs w:val="21"/>
                <w:lang w:bidi="en-US"/>
              </w:rPr>
              <w:t>（F</w:t>
            </w:r>
            <w:proofErr w:type="spellEnd"/>
            <w:r>
              <w:rPr>
                <w:rFonts w:ascii="Palatino Linotype" w:eastAsia="Times New Roman" w:hAnsi="Palatino Linotype" w:cs="Times New Roman" w:hint="eastAsia"/>
                <w:snapToGrid w:val="0"/>
                <w:color w:val="000000"/>
                <w:kern w:val="0"/>
                <w:sz w:val="20"/>
                <w:szCs w:val="21"/>
                <w:lang w:bidi="en-US"/>
              </w:rPr>
              <w:t>）</w:t>
            </w:r>
          </w:p>
        </w:tc>
        <w:tc>
          <w:tcPr>
            <w:tcW w:w="4958" w:type="dxa"/>
            <w:tcBorders>
              <w:top w:val="single" w:sz="4" w:space="0" w:color="000000"/>
              <w:left w:val="nil"/>
              <w:bottom w:val="nil"/>
              <w:right w:val="nil"/>
            </w:tcBorders>
            <w:shd w:val="clear" w:color="auto" w:fill="FFFFFF"/>
          </w:tcPr>
          <w:p w14:paraId="394B917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GROE、GPF、GNFO、OT、LT</w:t>
            </w:r>
          </w:p>
        </w:tc>
      </w:tr>
      <w:tr w:rsidR="00624AAA" w14:paraId="12751193" w14:textId="77777777">
        <w:tc>
          <w:tcPr>
            <w:tcW w:w="1824" w:type="dxa"/>
            <w:vMerge/>
            <w:tcBorders>
              <w:top w:val="nil"/>
              <w:left w:val="nil"/>
              <w:bottom w:val="nil"/>
              <w:right w:val="nil"/>
            </w:tcBorders>
            <w:shd w:val="clear" w:color="auto" w:fill="FFFFFF"/>
          </w:tcPr>
          <w:p w14:paraId="1D8AA658"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40" w:type="dxa"/>
            <w:tcBorders>
              <w:top w:val="nil"/>
              <w:left w:val="nil"/>
              <w:bottom w:val="nil"/>
              <w:right w:val="nil"/>
            </w:tcBorders>
            <w:shd w:val="clear" w:color="auto" w:fill="FFFFFF"/>
          </w:tcPr>
          <w:p w14:paraId="6B1C3AF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Green developm</w:t>
            </w:r>
            <w:r>
              <w:rPr>
                <w:rFonts w:ascii="Palatino Linotype" w:eastAsia="Times New Roman" w:hAnsi="Palatino Linotype" w:cs="Times New Roman"/>
                <w:snapToGrid w:val="0"/>
                <w:color w:val="000000"/>
                <w:kern w:val="0"/>
                <w:sz w:val="20"/>
                <w:szCs w:val="21"/>
                <w:lang w:bidi="en-US"/>
              </w:rPr>
              <w:lastRenderedPageBreak/>
              <w:t>ent model</w:t>
            </w:r>
            <w:r>
              <w:rPr>
                <w:rFonts w:ascii="Palatino Linotype" w:eastAsia="Times New Roman" w:hAnsi="Palatino Linotype" w:cs="Times New Roman" w:hint="eastAsia"/>
                <w:snapToGrid w:val="0"/>
                <w:color w:val="000000"/>
                <w:kern w:val="0"/>
                <w:sz w:val="20"/>
                <w:szCs w:val="21"/>
                <w:lang w:bidi="en-US"/>
              </w:rPr>
              <w:t xml:space="preserve"> (E)</w:t>
            </w:r>
          </w:p>
        </w:tc>
        <w:tc>
          <w:tcPr>
            <w:tcW w:w="4958" w:type="dxa"/>
            <w:tcBorders>
              <w:top w:val="nil"/>
              <w:left w:val="nil"/>
              <w:bottom w:val="nil"/>
              <w:right w:val="nil"/>
            </w:tcBorders>
            <w:shd w:val="clear" w:color="auto" w:fill="FFFFFF"/>
          </w:tcPr>
          <w:p w14:paraId="350EC3A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lastRenderedPageBreak/>
              <w:t>greeninvest、greenmanagement、greentran、erse</w:t>
            </w:r>
            <w:proofErr w:type="spellEnd"/>
          </w:p>
        </w:tc>
      </w:tr>
      <w:tr w:rsidR="00624AAA" w14:paraId="27E6A75D" w14:textId="77777777">
        <w:tc>
          <w:tcPr>
            <w:tcW w:w="1824" w:type="dxa"/>
            <w:vMerge/>
            <w:tcBorders>
              <w:top w:val="nil"/>
              <w:left w:val="nil"/>
              <w:bottom w:val="nil"/>
              <w:right w:val="nil"/>
            </w:tcBorders>
            <w:shd w:val="clear" w:color="auto" w:fill="FFFFFF"/>
          </w:tcPr>
          <w:p w14:paraId="302FEC73"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40" w:type="dxa"/>
            <w:tcBorders>
              <w:top w:val="nil"/>
              <w:left w:val="nil"/>
              <w:bottom w:val="nil"/>
              <w:right w:val="nil"/>
            </w:tcBorders>
            <w:shd w:val="clear" w:color="auto" w:fill="FFFFFF"/>
          </w:tcPr>
          <w:p w14:paraId="398ECC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R&amp;d</w:t>
            </w:r>
            <w:proofErr w:type="spellEnd"/>
            <w:r>
              <w:rPr>
                <w:rFonts w:ascii="Palatino Linotype" w:eastAsia="Times New Roman" w:hAnsi="Palatino Linotype" w:cs="Times New Roman"/>
                <w:snapToGrid w:val="0"/>
                <w:color w:val="000000"/>
                <w:kern w:val="0"/>
                <w:sz w:val="20"/>
                <w:szCs w:val="21"/>
                <w:lang w:bidi="en-US"/>
              </w:rPr>
              <w:t xml:space="preserve"> investment model</w:t>
            </w:r>
            <w:r>
              <w:rPr>
                <w:rFonts w:ascii="Palatino Linotype" w:eastAsia="Times New Roman" w:hAnsi="Palatino Linotype" w:cs="Times New Roman" w:hint="eastAsia"/>
                <w:snapToGrid w:val="0"/>
                <w:color w:val="000000"/>
                <w:kern w:val="0"/>
                <w:sz w:val="20"/>
                <w:szCs w:val="21"/>
                <w:lang w:bidi="en-US"/>
              </w:rPr>
              <w:t xml:space="preserve"> (R)</w:t>
            </w:r>
          </w:p>
        </w:tc>
        <w:tc>
          <w:tcPr>
            <w:tcW w:w="4958" w:type="dxa"/>
            <w:tcBorders>
              <w:top w:val="nil"/>
              <w:left w:val="nil"/>
              <w:bottom w:val="nil"/>
              <w:right w:val="nil"/>
            </w:tcBorders>
            <w:shd w:val="clear" w:color="auto" w:fill="FFFFFF"/>
          </w:tcPr>
          <w:p w14:paraId="3648F4D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RDP、RDC、RDQ</w:t>
            </w:r>
          </w:p>
        </w:tc>
      </w:tr>
      <w:tr w:rsidR="00624AAA" w14:paraId="72A8D62B" w14:textId="77777777">
        <w:tc>
          <w:tcPr>
            <w:tcW w:w="1824" w:type="dxa"/>
            <w:vMerge/>
            <w:tcBorders>
              <w:top w:val="nil"/>
              <w:left w:val="nil"/>
              <w:bottom w:val="nil"/>
              <w:right w:val="nil"/>
            </w:tcBorders>
            <w:shd w:val="clear" w:color="auto" w:fill="FFFFFF"/>
          </w:tcPr>
          <w:p w14:paraId="56AF75E6"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40" w:type="dxa"/>
            <w:tcBorders>
              <w:top w:val="nil"/>
              <w:left w:val="nil"/>
              <w:bottom w:val="nil"/>
              <w:right w:val="nil"/>
            </w:tcBorders>
            <w:shd w:val="clear" w:color="auto" w:fill="FFFFFF"/>
          </w:tcPr>
          <w:p w14:paraId="244ACD9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Supply chain management model</w:t>
            </w:r>
            <w:r>
              <w:rPr>
                <w:rFonts w:ascii="Palatino Linotype" w:eastAsia="Times New Roman" w:hAnsi="Palatino Linotype" w:cs="Times New Roman" w:hint="eastAsia"/>
                <w:snapToGrid w:val="0"/>
                <w:color w:val="000000"/>
                <w:kern w:val="0"/>
                <w:sz w:val="20"/>
                <w:szCs w:val="21"/>
                <w:lang w:bidi="en-US"/>
              </w:rPr>
              <w:t xml:space="preserve"> (S)</w:t>
            </w:r>
          </w:p>
        </w:tc>
        <w:tc>
          <w:tcPr>
            <w:tcW w:w="4958" w:type="dxa"/>
            <w:tcBorders>
              <w:top w:val="nil"/>
              <w:left w:val="nil"/>
              <w:bottom w:val="nil"/>
              <w:right w:val="nil"/>
            </w:tcBorders>
            <w:shd w:val="clear" w:color="auto" w:fill="FFFFFF"/>
          </w:tcPr>
          <w:p w14:paraId="64BE46A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CENSU、SUC、APT、ART</w:t>
            </w:r>
          </w:p>
        </w:tc>
      </w:tr>
      <w:tr w:rsidR="00624AAA" w14:paraId="075C9A3A" w14:textId="77777777">
        <w:tc>
          <w:tcPr>
            <w:tcW w:w="1824" w:type="dxa"/>
            <w:vMerge/>
            <w:tcBorders>
              <w:top w:val="nil"/>
              <w:left w:val="nil"/>
              <w:bottom w:val="single" w:sz="12" w:space="0" w:color="000000"/>
              <w:right w:val="nil"/>
            </w:tcBorders>
            <w:shd w:val="clear" w:color="auto" w:fill="FFFFFF"/>
          </w:tcPr>
          <w:p w14:paraId="522D3298"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40" w:type="dxa"/>
            <w:tcBorders>
              <w:top w:val="nil"/>
              <w:left w:val="nil"/>
              <w:bottom w:val="single" w:sz="12" w:space="0" w:color="000000"/>
              <w:right w:val="nil"/>
            </w:tcBorders>
            <w:shd w:val="clear" w:color="auto" w:fill="FFFFFF"/>
          </w:tcPr>
          <w:p w14:paraId="2AFADE8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Benchmark Model</w:t>
            </w:r>
          </w:p>
        </w:tc>
        <w:tc>
          <w:tcPr>
            <w:tcW w:w="4958" w:type="dxa"/>
            <w:tcBorders>
              <w:top w:val="nil"/>
              <w:left w:val="nil"/>
              <w:bottom w:val="single" w:sz="12" w:space="0" w:color="000000"/>
              <w:right w:val="nil"/>
            </w:tcBorders>
            <w:shd w:val="clear" w:color="auto" w:fill="FFFFFF"/>
          </w:tcPr>
          <w:p w14:paraId="75382E7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SOE、Size、Lev、Board、Indep、Dual、TMTPay1、Mshare、Occupy、FirmAge</w:t>
            </w:r>
          </w:p>
        </w:tc>
      </w:tr>
    </w:tbl>
    <w:p w14:paraId="06955FB1" w14:textId="77777777" w:rsidR="00624AAA" w:rsidRDefault="00C46345">
      <w:pPr>
        <w:spacing w:line="280" w:lineRule="exact"/>
        <w:rPr>
          <w:rFonts w:ascii="Times New Roman" w:eastAsia="SimSun" w:hAnsi="Times New Roman" w:cs="Times New Roman"/>
        </w:rPr>
      </w:pPr>
      <w:r>
        <w:rPr>
          <w:rFonts w:ascii="Palatino Linotype" w:eastAsia="Times New Roman" w:hAnsi="Palatino Linotype" w:cs="Times New Roman"/>
          <w:snapToGrid w:val="0"/>
          <w:color w:val="000000"/>
          <w:kern w:val="0"/>
          <w:sz w:val="18"/>
          <w:szCs w:val="20"/>
          <w:lang w:bidi="en-US"/>
        </w:rPr>
        <w:t xml:space="preserve">(Source: Own elaboration based on the main context of the paper). </w:t>
      </w:r>
    </w:p>
    <w:p w14:paraId="2B84BAC1" w14:textId="77777777" w:rsidR="00624AAA" w:rsidRDefault="00624AAA">
      <w:pPr>
        <w:rPr>
          <w:rFonts w:ascii="Times New Roman" w:eastAsia="SimSun" w:hAnsi="Times New Roman" w:cs="Times New Roman"/>
        </w:rPr>
      </w:pPr>
    </w:p>
    <w:p w14:paraId="1DFD5376" w14:textId="77777777" w:rsidR="00624AAA" w:rsidRDefault="00C46345">
      <w:pPr>
        <w:pStyle w:val="MDPI22heading2"/>
        <w:spacing w:before="240"/>
        <w:ind w:left="0"/>
        <w:rPr>
          <w:lang w:eastAsia="zh-CN"/>
        </w:rPr>
      </w:pPr>
      <w:r>
        <w:rPr>
          <w:rFonts w:hint="eastAsia"/>
          <w:lang w:eastAsia="zh-CN"/>
        </w:rPr>
        <w:t>3.3</w:t>
      </w:r>
      <w:r>
        <w:rPr>
          <w:lang w:eastAsia="zh-CN"/>
        </w:rPr>
        <w:t xml:space="preserve"> </w:t>
      </w:r>
      <w:r>
        <w:rPr>
          <w:rFonts w:hint="eastAsia"/>
          <w:lang w:eastAsia="zh-CN"/>
        </w:rPr>
        <w:t>Model Evaluating</w:t>
      </w:r>
    </w:p>
    <w:p w14:paraId="1A77851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This paper refers to the research methods of Uddin et al. (2022) and </w:t>
      </w:r>
      <w:proofErr w:type="spellStart"/>
      <w:r>
        <w:rPr>
          <w:rFonts w:ascii="Palatino Linotype" w:eastAsia="Times New Roman" w:hAnsi="Palatino Linotype" w:cs="Times New Roman"/>
          <w:snapToGrid w:val="0"/>
          <w:color w:val="000000"/>
          <w:kern w:val="0"/>
          <w:sz w:val="20"/>
          <w:szCs w:val="21"/>
          <w:lang w:bidi="en-US"/>
        </w:rPr>
        <w:t>Ağbulut</w:t>
      </w:r>
      <w:proofErr w:type="spellEnd"/>
      <w:r>
        <w:rPr>
          <w:rFonts w:ascii="Palatino Linotype" w:eastAsia="Times New Roman" w:hAnsi="Palatino Linotype" w:cs="Times New Roman"/>
          <w:snapToGrid w:val="0"/>
          <w:color w:val="000000"/>
          <w:kern w:val="0"/>
          <w:sz w:val="20"/>
          <w:szCs w:val="21"/>
          <w:lang w:bidi="en-US"/>
        </w:rPr>
        <w:t xml:space="preserve"> (</w:t>
      </w:r>
      <w:proofErr w:type="gramStart"/>
      <w:r>
        <w:rPr>
          <w:rFonts w:ascii="Palatino Linotype" w:eastAsia="Times New Roman" w:hAnsi="Palatino Linotype" w:cs="Times New Roman"/>
          <w:snapToGrid w:val="0"/>
          <w:color w:val="000000"/>
          <w:kern w:val="0"/>
          <w:sz w:val="20"/>
          <w:szCs w:val="21"/>
          <w:lang w:bidi="en-US"/>
        </w:rPr>
        <w:t>2022)[</w:t>
      </w:r>
      <w:proofErr w:type="gramEnd"/>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_Ref706334521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17</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_Ref706922766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18</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and evaluates the model performance from two aspects: explanator</w:t>
      </w:r>
      <w:r>
        <w:rPr>
          <w:rFonts w:ascii="Palatino Linotype" w:eastAsia="Times New Roman" w:hAnsi="Palatino Linotype" w:cs="Times New Roman"/>
          <w:snapToGrid w:val="0"/>
          <w:color w:val="000000"/>
          <w:kern w:val="0"/>
          <w:sz w:val="20"/>
          <w:szCs w:val="21"/>
          <w:lang w:bidi="en-US"/>
        </w:rPr>
        <w:t xml:space="preserve">y power and predictive error. The evaluation indicators include: in-sample fit </w:t>
      </w:r>
      <m:oMath>
        <m:sSubSup>
          <m:sSubSupPr>
            <m:ctrlPr>
              <w:rPr>
                <w:rFonts w:ascii="DejaVu Math TeX Gyre" w:eastAsia="Times New Roman" w:hAnsi="DejaVu Math TeX Gyre" w:cs="Times New Roman"/>
                <w:snapToGrid w:val="0"/>
                <w:color w:val="000000"/>
                <w:kern w:val="0"/>
                <w:sz w:val="20"/>
                <w:szCs w:val="21"/>
                <w:lang w:bidi="en-US"/>
              </w:rPr>
            </m:ctrlPr>
          </m:sSubSupPr>
          <m:e>
            <m:r>
              <m:rPr>
                <m:sty m:val="p"/>
              </m:rPr>
              <w:rPr>
                <w:rFonts w:ascii="DejaVu Math TeX Gyre" w:eastAsia="Times New Roman" w:hAnsi="DejaVu Math TeX Gyre" w:cs="Times New Roman"/>
                <w:snapToGrid w:val="0"/>
                <w:color w:val="000000"/>
                <w:kern w:val="0"/>
                <w:sz w:val="20"/>
                <w:szCs w:val="21"/>
                <w:lang w:bidi="en-US"/>
              </w:rPr>
              <m:t>R</m:t>
            </m:r>
          </m:e>
          <m:sub>
            <m:r>
              <m:rPr>
                <m:sty m:val="p"/>
              </m:rPr>
              <w:rPr>
                <w:rFonts w:ascii="DejaVu Math TeX Gyre" w:eastAsia="Times New Roman" w:hAnsi="DejaVu Math TeX Gyre" w:cs="Times New Roman"/>
                <w:snapToGrid w:val="0"/>
                <w:color w:val="000000"/>
                <w:kern w:val="0"/>
                <w:sz w:val="20"/>
                <w:szCs w:val="21"/>
                <w:lang w:bidi="en-US"/>
              </w:rPr>
              <m:t>is</m:t>
            </m:r>
          </m:sub>
          <m:sup>
            <m:r>
              <m:rPr>
                <m:sty m:val="p"/>
              </m:rPr>
              <w:rPr>
                <w:rFonts w:ascii="DejaVu Math TeX Gyre" w:eastAsia="Times New Roman" w:hAnsi="DejaVu Math TeX Gyre" w:cs="Times New Roman"/>
                <w:snapToGrid w:val="0"/>
                <w:color w:val="000000"/>
                <w:kern w:val="0"/>
                <w:sz w:val="20"/>
                <w:szCs w:val="21"/>
                <w:lang w:bidi="en-US"/>
              </w:rPr>
              <m:t>2</m:t>
            </m:r>
          </m:sup>
        </m:sSubSup>
      </m:oMath>
      <w:r>
        <w:rPr>
          <w:rFonts w:ascii="Palatino Linotype" w:eastAsia="Times New Roman" w:hAnsi="Palatino Linotype" w:cs="Times New Roman"/>
          <w:snapToGrid w:val="0"/>
          <w:color w:val="000000"/>
          <w:kern w:val="0"/>
          <w:sz w:val="20"/>
          <w:szCs w:val="21"/>
          <w:lang w:bidi="en-US"/>
        </w:rPr>
        <w:t xml:space="preserve">, out-of-sample fit </w:t>
      </w:r>
      <m:oMath>
        <m:sSubSup>
          <m:sSubSupPr>
            <m:ctrlPr>
              <w:rPr>
                <w:rFonts w:ascii="DejaVu Math TeX Gyre" w:eastAsia="Times New Roman" w:hAnsi="DejaVu Math TeX Gyre" w:cs="Times New Roman"/>
                <w:snapToGrid w:val="0"/>
                <w:color w:val="000000"/>
                <w:kern w:val="0"/>
                <w:sz w:val="20"/>
                <w:szCs w:val="21"/>
                <w:lang w:bidi="en-US"/>
              </w:rPr>
            </m:ctrlPr>
          </m:sSubSupPr>
          <m:e>
            <m:r>
              <m:rPr>
                <m:sty m:val="p"/>
              </m:rPr>
              <w:rPr>
                <w:rFonts w:ascii="DejaVu Math TeX Gyre" w:eastAsia="Times New Roman" w:hAnsi="DejaVu Math TeX Gyre" w:cs="Times New Roman"/>
                <w:snapToGrid w:val="0"/>
                <w:color w:val="000000"/>
                <w:kern w:val="0"/>
                <w:sz w:val="20"/>
                <w:szCs w:val="21"/>
                <w:lang w:bidi="en-US"/>
              </w:rPr>
              <m:t>R</m:t>
            </m:r>
          </m:e>
          <m:sub>
            <m:r>
              <m:rPr>
                <m:sty m:val="p"/>
              </m:rPr>
              <w:rPr>
                <w:rFonts w:ascii="DejaVu Math TeX Gyre" w:eastAsia="Times New Roman" w:hAnsi="DejaVu Math TeX Gyre" w:cs="Times New Roman"/>
                <w:snapToGrid w:val="0"/>
                <w:color w:val="000000"/>
                <w:kern w:val="0"/>
                <w:sz w:val="20"/>
                <w:szCs w:val="21"/>
                <w:lang w:bidi="en-US"/>
              </w:rPr>
              <m:t>oos</m:t>
            </m:r>
          </m:sub>
          <m:sup>
            <m:r>
              <m:rPr>
                <m:sty m:val="p"/>
              </m:rPr>
              <w:rPr>
                <w:rFonts w:ascii="DejaVu Math TeX Gyre" w:eastAsia="Times New Roman" w:hAnsi="DejaVu Math TeX Gyre" w:cs="Times New Roman"/>
                <w:snapToGrid w:val="0"/>
                <w:color w:val="000000"/>
                <w:kern w:val="0"/>
                <w:sz w:val="20"/>
                <w:szCs w:val="21"/>
                <w:lang w:bidi="en-US"/>
              </w:rPr>
              <m:t>2</m:t>
            </m:r>
          </m:sup>
        </m:sSubSup>
      </m:oMath>
      <w:r>
        <w:rPr>
          <w:rFonts w:ascii="Palatino Linotype" w:eastAsia="Times New Roman" w:hAnsi="Palatino Linotype" w:cs="Times New Roman"/>
          <w:snapToGrid w:val="0"/>
          <w:color w:val="000000"/>
          <w:kern w:val="0"/>
          <w:sz w:val="20"/>
          <w:szCs w:val="21"/>
          <w:lang w:bidi="en-US"/>
        </w:rPr>
        <w:t xml:space="preserve">, out-of-sample mean squared error MSEoos, and mean absolute error MAEoos. The definitions and calculation formulas of the evaluation </w:t>
      </w:r>
      <w:r>
        <w:rPr>
          <w:rFonts w:ascii="Palatino Linotype" w:eastAsia="Times New Roman" w:hAnsi="Palatino Linotype" w:cs="Times New Roman"/>
          <w:snapToGrid w:val="0"/>
          <w:color w:val="000000"/>
          <w:kern w:val="0"/>
          <w:sz w:val="20"/>
          <w:szCs w:val="21"/>
          <w:lang w:bidi="en-US"/>
        </w:rPr>
        <w:t>indicators are detailed in Table 2.</w:t>
      </w:r>
    </w:p>
    <w:p w14:paraId="7638EE02"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p w14:paraId="010FC73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b/>
          <w:bCs/>
          <w:snapToGrid w:val="0"/>
          <w:color w:val="000000"/>
          <w:kern w:val="0"/>
          <w:sz w:val="20"/>
          <w:szCs w:val="21"/>
          <w:lang w:bidi="en-US"/>
        </w:rPr>
        <w:t>Table 2</w:t>
      </w:r>
      <w:r>
        <w:rPr>
          <w:rFonts w:ascii="Palatino Linotype" w:eastAsia="Times New Roman" w:hAnsi="Palatino Linotype" w:cs="Times New Roman"/>
          <w:snapToGrid w:val="0"/>
          <w:color w:val="000000"/>
          <w:kern w:val="0"/>
          <w:sz w:val="20"/>
          <w:szCs w:val="21"/>
          <w:lang w:bidi="en-US"/>
        </w:rPr>
        <w:t>. Evaluation indicators and calculation formula</w:t>
      </w:r>
    </w:p>
    <w:tbl>
      <w:tblPr>
        <w:tblStyle w:val="TableGrid"/>
        <w:tblW w:w="0" w:type="auto"/>
        <w:tblLook w:val="04A0" w:firstRow="1" w:lastRow="0" w:firstColumn="1" w:lastColumn="0" w:noHBand="0" w:noVBand="1"/>
      </w:tblPr>
      <w:tblGrid>
        <w:gridCol w:w="1918"/>
        <w:gridCol w:w="2672"/>
        <w:gridCol w:w="3716"/>
      </w:tblGrid>
      <w:tr w:rsidR="00624AAA" w14:paraId="75E7F565" w14:textId="77777777">
        <w:tc>
          <w:tcPr>
            <w:tcW w:w="1960" w:type="dxa"/>
            <w:tcBorders>
              <w:top w:val="single" w:sz="12" w:space="0" w:color="000000"/>
              <w:left w:val="nil"/>
              <w:bottom w:val="single" w:sz="4" w:space="0" w:color="000000"/>
              <w:right w:val="nil"/>
              <w:tl2br w:val="nil"/>
            </w:tcBorders>
            <w:shd w:val="clear" w:color="auto" w:fill="FFFFFF"/>
            <w:vAlign w:val="center"/>
          </w:tcPr>
          <w:p w14:paraId="5559CEC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evaluation indicators</w:t>
            </w:r>
          </w:p>
        </w:tc>
        <w:tc>
          <w:tcPr>
            <w:tcW w:w="2759" w:type="dxa"/>
            <w:tcBorders>
              <w:top w:val="single" w:sz="12" w:space="0" w:color="000000"/>
              <w:left w:val="nil"/>
              <w:bottom w:val="single" w:sz="4" w:space="0" w:color="000000"/>
              <w:right w:val="nil"/>
            </w:tcBorders>
            <w:shd w:val="clear" w:color="auto" w:fill="FFFFFF"/>
            <w:vAlign w:val="center"/>
          </w:tcPr>
          <w:p w14:paraId="715DE38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Definition of indicators</w:t>
            </w:r>
          </w:p>
        </w:tc>
        <w:tc>
          <w:tcPr>
            <w:tcW w:w="3803" w:type="dxa"/>
            <w:tcBorders>
              <w:top w:val="single" w:sz="12" w:space="0" w:color="000000"/>
              <w:left w:val="nil"/>
              <w:bottom w:val="single" w:sz="4" w:space="0" w:color="000000"/>
              <w:right w:val="nil"/>
            </w:tcBorders>
            <w:shd w:val="clear" w:color="auto" w:fill="FFFFFF"/>
            <w:vAlign w:val="center"/>
          </w:tcPr>
          <w:p w14:paraId="39EDE14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computational formula</w:t>
            </w:r>
          </w:p>
        </w:tc>
      </w:tr>
      <w:tr w:rsidR="00624AAA" w14:paraId="420457D6" w14:textId="77777777">
        <w:trPr>
          <w:trHeight w:val="1292"/>
        </w:trPr>
        <w:tc>
          <w:tcPr>
            <w:tcW w:w="1960" w:type="dxa"/>
            <w:tcBorders>
              <w:top w:val="single" w:sz="4" w:space="0" w:color="000000"/>
              <w:left w:val="nil"/>
              <w:bottom w:val="nil"/>
              <w:right w:val="nil"/>
            </w:tcBorders>
            <w:shd w:val="clear" w:color="auto" w:fill="FFFFFF"/>
            <w:vAlign w:val="center"/>
          </w:tcPr>
          <w:p w14:paraId="5EBE220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in-sample fit </w:t>
            </w:r>
            <m:oMath>
              <m:sSubSup>
                <m:sSubSupPr>
                  <m:ctrlPr>
                    <w:rPr>
                      <w:rFonts w:ascii="DejaVu Math TeX Gyre" w:eastAsia="Times New Roman" w:hAnsi="DejaVu Math TeX Gyre" w:cs="Times New Roman"/>
                      <w:snapToGrid w:val="0"/>
                      <w:color w:val="000000"/>
                      <w:kern w:val="0"/>
                      <w:sz w:val="20"/>
                      <w:szCs w:val="21"/>
                      <w:lang w:bidi="en-US"/>
                    </w:rPr>
                  </m:ctrlPr>
                </m:sSubSupPr>
                <m:e>
                  <m:r>
                    <m:rPr>
                      <m:sty m:val="p"/>
                    </m:rPr>
                    <w:rPr>
                      <w:rFonts w:ascii="DejaVu Math TeX Gyre" w:eastAsia="Times New Roman" w:hAnsi="DejaVu Math TeX Gyre" w:cs="Times New Roman"/>
                      <w:snapToGrid w:val="0"/>
                      <w:color w:val="000000"/>
                      <w:kern w:val="0"/>
                      <w:sz w:val="20"/>
                      <w:szCs w:val="21"/>
                      <w:lang w:bidi="en-US"/>
                    </w:rPr>
                    <m:t>R</m:t>
                  </m:r>
                </m:e>
                <m:sub>
                  <m:r>
                    <m:rPr>
                      <m:sty m:val="p"/>
                    </m:rPr>
                    <w:rPr>
                      <w:rFonts w:ascii="DejaVu Math TeX Gyre" w:eastAsia="Times New Roman" w:hAnsi="DejaVu Math TeX Gyre" w:cs="Times New Roman"/>
                      <w:snapToGrid w:val="0"/>
                      <w:color w:val="000000"/>
                      <w:kern w:val="0"/>
                      <w:sz w:val="20"/>
                      <w:szCs w:val="21"/>
                      <w:lang w:bidi="en-US"/>
                    </w:rPr>
                    <m:t>is</m:t>
                  </m:r>
                </m:sub>
                <m:sup>
                  <m:r>
                    <m:rPr>
                      <m:sty m:val="p"/>
                    </m:rPr>
                    <w:rPr>
                      <w:rFonts w:ascii="DejaVu Math TeX Gyre" w:eastAsia="Times New Roman" w:hAnsi="DejaVu Math TeX Gyre" w:cs="Times New Roman"/>
                      <w:snapToGrid w:val="0"/>
                      <w:color w:val="000000"/>
                      <w:kern w:val="0"/>
                      <w:sz w:val="20"/>
                      <w:szCs w:val="21"/>
                      <w:lang w:bidi="en-US"/>
                    </w:rPr>
                    <m:t>2</m:t>
                  </m:r>
                </m:sup>
              </m:sSubSup>
            </m:oMath>
          </w:p>
        </w:tc>
        <w:tc>
          <w:tcPr>
            <w:tcW w:w="2759" w:type="dxa"/>
            <w:tcBorders>
              <w:top w:val="single" w:sz="4" w:space="0" w:color="000000"/>
              <w:left w:val="nil"/>
              <w:bottom w:val="nil"/>
              <w:right w:val="nil"/>
            </w:tcBorders>
            <w:shd w:val="clear" w:color="auto" w:fill="FFFFFF"/>
            <w:vAlign w:val="center"/>
          </w:tcPr>
          <w:p w14:paraId="3F2BFD3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In the training set, how well the predicted values of the model fit the act</w:t>
            </w:r>
            <w:r>
              <w:rPr>
                <w:rFonts w:ascii="Palatino Linotype" w:eastAsia="Times New Roman" w:hAnsi="Palatino Linotype" w:cs="Times New Roman"/>
                <w:snapToGrid w:val="0"/>
                <w:color w:val="000000"/>
                <w:kern w:val="0"/>
                <w:sz w:val="20"/>
                <w:szCs w:val="21"/>
                <w:lang w:bidi="en-US"/>
              </w:rPr>
              <w:t>ual observed values</w:t>
            </w:r>
          </w:p>
        </w:tc>
        <w:tc>
          <w:tcPr>
            <w:tcW w:w="3803" w:type="dxa"/>
            <w:vMerge w:val="restart"/>
            <w:tcBorders>
              <w:top w:val="single" w:sz="4" w:space="0" w:color="000000"/>
              <w:left w:val="nil"/>
              <w:bottom w:val="nil"/>
              <w:right w:val="nil"/>
            </w:tcBorders>
            <w:shd w:val="clear" w:color="auto" w:fill="FFFFFF"/>
            <w:vAlign w:val="center"/>
          </w:tcPr>
          <w:p w14:paraId="159F3527" w14:textId="77777777" w:rsidR="00624AAA" w:rsidRDefault="00624AAA">
            <w:pPr>
              <w:rPr>
                <w:rFonts w:ascii="Palatino Linotype" w:eastAsia="Times New Roman" w:hAnsi="Palatino Linotype" w:cs="Times New Roman"/>
                <w:snapToGrid w:val="0"/>
                <w:color w:val="000000"/>
                <w:kern w:val="0"/>
                <w:sz w:val="20"/>
                <w:szCs w:val="21"/>
                <w:lang w:bidi="en-US"/>
              </w:rPr>
            </w:pPr>
          </w:p>
          <w:p w14:paraId="17C6D5CA" w14:textId="77777777" w:rsidR="00624AAA" w:rsidRDefault="00C46345">
            <w:pPr>
              <w:rPr>
                <w:rFonts w:hAnsi="DejaVu Math TeX Gyre" w:cs="Times New Roman"/>
                <w:snapToGrid w:val="0"/>
                <w:color w:val="000000"/>
                <w:kern w:val="0"/>
                <w:sz w:val="20"/>
                <w:szCs w:val="21"/>
                <w:lang w:bidi="en-US"/>
              </w:rPr>
            </w:pPr>
            <m:oMath>
              <m:f>
                <m:fPr>
                  <m:ctrlPr>
                    <w:rPr>
                      <w:rFonts w:ascii="DejaVu Math TeX Gyre" w:hAnsi="DejaVu Math TeX Gyre" w:cs="Times New Roman"/>
                      <w:i/>
                      <w:snapToGrid w:val="0"/>
                      <w:color w:val="000000"/>
                      <w:kern w:val="0"/>
                      <w:sz w:val="20"/>
                      <w:szCs w:val="21"/>
                      <w:lang w:bidi="en-US"/>
                    </w:rPr>
                  </m:ctrlPr>
                </m:fPr>
                <m:num>
                  <m:sSubSup>
                    <m:sSubSupPr>
                      <m:ctrlPr>
                        <w:rPr>
                          <w:rFonts w:ascii="DejaVu Math TeX Gyre" w:hAnsi="DejaVu Math TeX Gyre" w:cs="Times New Roman"/>
                          <w:i/>
                          <w:snapToGrid w:val="0"/>
                          <w:color w:val="000000"/>
                          <w:kern w:val="0"/>
                          <w:sz w:val="20"/>
                          <w:szCs w:val="21"/>
                          <w:lang w:bidi="en-US"/>
                        </w:rPr>
                      </m:ctrlPr>
                    </m:sSubSupPr>
                    <m:e>
                      <m:r>
                        <w:rPr>
                          <w:rFonts w:ascii="DejaVu Math TeX Gyre" w:hAnsi="DejaVu Math TeX Gyre" w:cs="Times New Roman"/>
                          <w:snapToGrid w:val="0"/>
                          <w:color w:val="000000"/>
                          <w:kern w:val="0"/>
                          <w:sz w:val="20"/>
                          <w:szCs w:val="21"/>
                          <w:lang w:bidi="en-US"/>
                        </w:rPr>
                        <m:t>R</m:t>
                      </m:r>
                    </m:e>
                    <m:sub>
                      <m:r>
                        <w:rPr>
                          <w:rFonts w:ascii="DejaVu Math TeX Gyre" w:hAnsi="DejaVu Math TeX Gyre" w:cs="Times New Roman" w:hint="eastAsia"/>
                          <w:snapToGrid w:val="0"/>
                          <w:color w:val="000000"/>
                          <w:kern w:val="0"/>
                          <w:sz w:val="20"/>
                          <w:szCs w:val="21"/>
                          <w:lang w:bidi="en-US"/>
                        </w:rPr>
                        <m:t>is</m:t>
                      </m:r>
                    </m:sub>
                    <m:sup>
                      <m:r>
                        <w:rPr>
                          <w:rFonts w:ascii="DejaVu Math TeX Gyre" w:hAnsi="DejaVu Math TeX Gyre" w:cs="Times New Roman"/>
                          <w:snapToGrid w:val="0"/>
                          <w:color w:val="000000"/>
                          <w:kern w:val="0"/>
                          <w:sz w:val="20"/>
                          <w:szCs w:val="21"/>
                          <w:lang w:bidi="en-US"/>
                        </w:rPr>
                        <m:t>2</m:t>
                      </m:r>
                    </m:sup>
                  </m:sSubSup>
                </m:num>
                <m:den>
                  <m:sSubSup>
                    <m:sSubSupPr>
                      <m:ctrlPr>
                        <w:rPr>
                          <w:rFonts w:ascii="DejaVu Math TeX Gyre" w:hAnsi="DejaVu Math TeX Gyre" w:cs="Times New Roman"/>
                          <w:i/>
                          <w:snapToGrid w:val="0"/>
                          <w:color w:val="000000"/>
                          <w:kern w:val="0"/>
                          <w:sz w:val="20"/>
                          <w:szCs w:val="21"/>
                          <w:lang w:bidi="en-US"/>
                        </w:rPr>
                      </m:ctrlPr>
                    </m:sSubSupPr>
                    <m:e>
                      <m:r>
                        <w:rPr>
                          <w:rFonts w:ascii="DejaVu Math TeX Gyre" w:hAnsi="DejaVu Math TeX Gyre" w:cs="Times New Roman"/>
                          <w:snapToGrid w:val="0"/>
                          <w:color w:val="000000"/>
                          <w:kern w:val="0"/>
                          <w:sz w:val="20"/>
                          <w:szCs w:val="21"/>
                          <w:lang w:bidi="en-US"/>
                        </w:rPr>
                        <m:t>R</m:t>
                      </m:r>
                    </m:e>
                    <m:sub>
                      <m:r>
                        <w:rPr>
                          <w:rFonts w:ascii="DejaVu Math TeX Gyre" w:hAnsi="DejaVu Math TeX Gyre" w:cs="Times New Roman"/>
                          <w:snapToGrid w:val="0"/>
                          <w:color w:val="000000"/>
                          <w:kern w:val="0"/>
                          <w:sz w:val="20"/>
                          <w:szCs w:val="21"/>
                          <w:lang w:bidi="en-US"/>
                        </w:rPr>
                        <m:t>oos</m:t>
                      </m:r>
                    </m:sub>
                    <m:sup>
                      <m:r>
                        <w:rPr>
                          <w:rFonts w:ascii="DejaVu Math TeX Gyre" w:hAnsi="DejaVu Math TeX Gyre" w:cs="Times New Roman"/>
                          <w:snapToGrid w:val="0"/>
                          <w:color w:val="000000"/>
                          <w:kern w:val="0"/>
                          <w:sz w:val="20"/>
                          <w:szCs w:val="21"/>
                          <w:lang w:bidi="en-US"/>
                        </w:rPr>
                        <m:t>2</m:t>
                      </m:r>
                    </m:sup>
                  </m:sSubSup>
                </m:den>
              </m:f>
              <m:r>
                <w:rPr>
                  <w:rFonts w:ascii="DejaVu Math TeX Gyre" w:hAnsi="DejaVu Math TeX Gyre" w:cs="Times New Roman"/>
                  <w:snapToGrid w:val="0"/>
                  <w:color w:val="000000"/>
                  <w:kern w:val="0"/>
                  <w:sz w:val="20"/>
                  <w:szCs w:val="21"/>
                  <w:lang w:bidi="en-US"/>
                </w:rPr>
                <m:t>=1-</m:t>
              </m:r>
              <m:f>
                <m:fPr>
                  <m:ctrlPr>
                    <w:rPr>
                      <w:rFonts w:ascii="DejaVu Math TeX Gyre" w:hAnsi="DejaVu Math TeX Gyre" w:cs="Times New Roman"/>
                      <w:i/>
                      <w:snapToGrid w:val="0"/>
                      <w:color w:val="000000"/>
                      <w:kern w:val="0"/>
                      <w:sz w:val="20"/>
                      <w:szCs w:val="21"/>
                      <w:lang w:bidi="en-US"/>
                    </w:rPr>
                  </m:ctrlPr>
                </m:fPr>
                <m:num>
                  <m:nary>
                    <m:naryPr>
                      <m:chr m:val="∑"/>
                      <m:limLoc m:val="undOvr"/>
                      <m:ctrlPr>
                        <w:rPr>
                          <w:rFonts w:ascii="DejaVu Math TeX Gyre" w:hAnsi="DejaVu Math TeX Gyre" w:cs="Times New Roman"/>
                          <w:i/>
                          <w:snapToGrid w:val="0"/>
                          <w:color w:val="000000"/>
                          <w:kern w:val="0"/>
                          <w:sz w:val="20"/>
                          <w:szCs w:val="21"/>
                          <w:lang w:bidi="en-US"/>
                        </w:rPr>
                      </m:ctrlPr>
                    </m:naryPr>
                    <m:sub>
                      <m:r>
                        <w:rPr>
                          <w:rFonts w:ascii="DejaVu Math TeX Gyre" w:hAnsi="DejaVu Math TeX Gyre" w:cs="Times New Roman"/>
                          <w:snapToGrid w:val="0"/>
                          <w:color w:val="000000"/>
                          <w:kern w:val="0"/>
                          <w:sz w:val="20"/>
                          <w:szCs w:val="21"/>
                          <w:lang w:bidi="en-US"/>
                        </w:rPr>
                        <m:t>i</m:t>
                      </m:r>
                      <m:r>
                        <w:rPr>
                          <w:rFonts w:ascii="DejaVu Math TeX Gyre" w:hAnsi="DejaVu Math TeX Gyre" w:cs="Times New Roman"/>
                          <w:snapToGrid w:val="0"/>
                          <w:color w:val="000000"/>
                          <w:kern w:val="0"/>
                          <w:sz w:val="20"/>
                          <w:szCs w:val="21"/>
                          <w:lang w:bidi="en-US"/>
                        </w:rPr>
                        <m:t>=1</m:t>
                      </m:r>
                    </m:sub>
                    <m:sup>
                      <m:r>
                        <w:rPr>
                          <w:rFonts w:ascii="DejaVu Math TeX Gyre" w:hAnsi="DejaVu Math TeX Gyre" w:cs="Times New Roman"/>
                          <w:snapToGrid w:val="0"/>
                          <w:color w:val="000000"/>
                          <w:kern w:val="0"/>
                          <w:sz w:val="20"/>
                          <w:szCs w:val="21"/>
                          <w:lang w:bidi="en-US"/>
                        </w:rPr>
                        <m:t>n</m:t>
                      </m:r>
                    </m:sup>
                    <m:e>
                      <m:sSup>
                        <m:sSupPr>
                          <m:ctrlPr>
                            <w:rPr>
                              <w:rFonts w:ascii="DejaVu Math TeX Gyre" w:hAnsi="DejaVu Math TeX Gyre" w:cs="Times New Roman"/>
                              <w:i/>
                              <w:snapToGrid w:val="0"/>
                              <w:color w:val="000000"/>
                              <w:kern w:val="0"/>
                              <w:sz w:val="20"/>
                              <w:szCs w:val="21"/>
                              <w:lang w:bidi="en-US"/>
                            </w:rPr>
                          </m:ctrlPr>
                        </m:sSupPr>
                        <m:e>
                          <m:sSub>
                            <m:sSubPr>
                              <m:ctrlPr>
                                <w:rPr>
                                  <w:rFonts w:ascii="DejaVu Math TeX Gyre" w:hAnsi="DejaVu Math TeX Gyre" w:cs="Times New Roman"/>
                                  <w:i/>
                                  <w:snapToGrid w:val="0"/>
                                  <w:color w:val="000000"/>
                                  <w:kern w:val="0"/>
                                  <w:sz w:val="20"/>
                                  <w:szCs w:val="21"/>
                                  <w:lang w:bidi="en-US"/>
                                </w:rPr>
                              </m:ctrlPr>
                            </m:sSubPr>
                            <m:e>
                              <m:r>
                                <w:rPr>
                                  <w:rFonts w:ascii="DejaVu Math TeX Gyre" w:hAnsi="DejaVu Math TeX Gyre" w:cs="Times New Roman"/>
                                  <w:snapToGrid w:val="0"/>
                                  <w:color w:val="000000"/>
                                  <w:kern w:val="0"/>
                                  <w:sz w:val="20"/>
                                  <w:szCs w:val="21"/>
                                  <w:lang w:bidi="en-US"/>
                                </w:rPr>
                                <m:t>(</m:t>
                              </m:r>
                              <m:r>
                                <w:rPr>
                                  <w:rFonts w:ascii="DejaVu Math TeX Gyre" w:hAnsi="DejaVu Math TeX Gyre" w:cs="Times New Roman"/>
                                  <w:snapToGrid w:val="0"/>
                                  <w:color w:val="000000"/>
                                  <w:kern w:val="0"/>
                                  <w:sz w:val="20"/>
                                  <w:szCs w:val="21"/>
                                  <w:lang w:bidi="en-US"/>
                                </w:rPr>
                                <m:t>y</m:t>
                              </m:r>
                            </m:e>
                            <m:sub>
                              <m:r>
                                <w:rPr>
                                  <w:rFonts w:ascii="DejaVu Math TeX Gyre" w:hAnsi="DejaVu Math TeX Gyre" w:cs="Times New Roman"/>
                                  <w:snapToGrid w:val="0"/>
                                  <w:color w:val="000000"/>
                                  <w:kern w:val="0"/>
                                  <w:sz w:val="20"/>
                                  <w:szCs w:val="21"/>
                                  <w:lang w:bidi="en-US"/>
                                </w:rPr>
                                <m:t>i</m:t>
                              </m:r>
                            </m:sub>
                          </m:sSub>
                          <m:r>
                            <w:rPr>
                              <w:rFonts w:ascii="DejaVu Math TeX Gyre" w:hAnsi="DejaVu Math TeX Gyre" w:cs="Times New Roman"/>
                              <w:snapToGrid w:val="0"/>
                              <w:color w:val="000000"/>
                              <w:kern w:val="0"/>
                              <w:sz w:val="20"/>
                              <w:szCs w:val="21"/>
                              <w:lang w:bidi="en-US"/>
                            </w:rPr>
                            <m:t>-</m:t>
                          </m:r>
                          <m:acc>
                            <m:accPr>
                              <m:ctrlPr>
                                <w:rPr>
                                  <w:rFonts w:ascii="DejaVu Math TeX Gyre" w:hAnsi="DejaVu Math TeX Gyre" w:cs="Times New Roman"/>
                                  <w:i/>
                                  <w:snapToGrid w:val="0"/>
                                  <w:color w:val="000000"/>
                                  <w:kern w:val="0"/>
                                  <w:sz w:val="20"/>
                                  <w:szCs w:val="21"/>
                                  <w:lang w:bidi="en-US"/>
                                </w:rPr>
                              </m:ctrlPr>
                            </m:accPr>
                            <m:e>
                              <m:sSub>
                                <m:sSubPr>
                                  <m:ctrlPr>
                                    <w:rPr>
                                      <w:rFonts w:ascii="DejaVu Math TeX Gyre" w:hAnsi="DejaVu Math TeX Gyre" w:cs="Times New Roman"/>
                                      <w:i/>
                                      <w:snapToGrid w:val="0"/>
                                      <w:color w:val="000000"/>
                                      <w:kern w:val="0"/>
                                      <w:sz w:val="20"/>
                                      <w:szCs w:val="21"/>
                                      <w:lang w:bidi="en-US"/>
                                    </w:rPr>
                                  </m:ctrlPr>
                                </m:sSubPr>
                                <m:e>
                                  <m:r>
                                    <w:rPr>
                                      <w:rFonts w:ascii="DejaVu Math TeX Gyre" w:hAnsi="DejaVu Math TeX Gyre" w:cs="Times New Roman"/>
                                      <w:snapToGrid w:val="0"/>
                                      <w:color w:val="000000"/>
                                      <w:kern w:val="0"/>
                                      <w:sz w:val="20"/>
                                      <w:szCs w:val="21"/>
                                      <w:lang w:bidi="en-US"/>
                                    </w:rPr>
                                    <m:t>y</m:t>
                                  </m:r>
                                </m:e>
                                <m:sub>
                                  <m:r>
                                    <w:rPr>
                                      <w:rFonts w:ascii="DejaVu Math TeX Gyre" w:hAnsi="DejaVu Math TeX Gyre" w:cs="Times New Roman"/>
                                      <w:snapToGrid w:val="0"/>
                                      <w:color w:val="000000"/>
                                      <w:kern w:val="0"/>
                                      <w:sz w:val="20"/>
                                      <w:szCs w:val="21"/>
                                      <w:lang w:bidi="en-US"/>
                                    </w:rPr>
                                    <m:t>i</m:t>
                                  </m:r>
                                </m:sub>
                              </m:sSub>
                            </m:e>
                          </m:acc>
                          <m:r>
                            <w:rPr>
                              <w:rFonts w:ascii="DejaVu Math TeX Gyre" w:hAnsi="DejaVu Math TeX Gyre" w:cs="Times New Roman"/>
                              <w:snapToGrid w:val="0"/>
                              <w:color w:val="000000"/>
                              <w:kern w:val="0"/>
                              <w:sz w:val="20"/>
                              <w:szCs w:val="21"/>
                              <w:lang w:bidi="en-US"/>
                            </w:rPr>
                            <m:t>)</m:t>
                          </m:r>
                        </m:e>
                        <m:sup>
                          <m:r>
                            <w:rPr>
                              <w:rFonts w:ascii="DejaVu Math TeX Gyre" w:hAnsi="DejaVu Math TeX Gyre" w:cs="Times New Roman"/>
                              <w:snapToGrid w:val="0"/>
                              <w:color w:val="000000"/>
                              <w:kern w:val="0"/>
                              <w:sz w:val="20"/>
                              <w:szCs w:val="21"/>
                              <w:lang w:bidi="en-US"/>
                            </w:rPr>
                            <m:t>2</m:t>
                          </m:r>
                        </m:sup>
                      </m:sSup>
                    </m:e>
                  </m:nary>
                </m:num>
                <m:den>
                  <m:nary>
                    <m:naryPr>
                      <m:chr m:val="∑"/>
                      <m:limLoc m:val="undOvr"/>
                      <m:ctrlPr>
                        <w:rPr>
                          <w:rFonts w:ascii="DejaVu Math TeX Gyre" w:hAnsi="DejaVu Math TeX Gyre" w:cs="Times New Roman"/>
                          <w:i/>
                          <w:snapToGrid w:val="0"/>
                          <w:color w:val="000000"/>
                          <w:kern w:val="0"/>
                          <w:sz w:val="20"/>
                          <w:szCs w:val="21"/>
                          <w:lang w:bidi="en-US"/>
                        </w:rPr>
                      </m:ctrlPr>
                    </m:naryPr>
                    <m:sub>
                      <m:r>
                        <w:rPr>
                          <w:rFonts w:ascii="DejaVu Math TeX Gyre" w:hAnsi="DejaVu Math TeX Gyre" w:cs="Times New Roman"/>
                          <w:snapToGrid w:val="0"/>
                          <w:color w:val="000000"/>
                          <w:kern w:val="0"/>
                          <w:sz w:val="20"/>
                          <w:szCs w:val="21"/>
                          <w:lang w:bidi="en-US"/>
                        </w:rPr>
                        <m:t>i</m:t>
                      </m:r>
                      <m:r>
                        <w:rPr>
                          <w:rFonts w:ascii="DejaVu Math TeX Gyre" w:hAnsi="DejaVu Math TeX Gyre" w:cs="Times New Roman"/>
                          <w:snapToGrid w:val="0"/>
                          <w:color w:val="000000"/>
                          <w:kern w:val="0"/>
                          <w:sz w:val="20"/>
                          <w:szCs w:val="21"/>
                          <w:lang w:bidi="en-US"/>
                        </w:rPr>
                        <m:t>=1</m:t>
                      </m:r>
                    </m:sub>
                    <m:sup>
                      <m:r>
                        <w:rPr>
                          <w:rFonts w:ascii="DejaVu Math TeX Gyre" w:hAnsi="DejaVu Math TeX Gyre" w:cs="Times New Roman"/>
                          <w:snapToGrid w:val="0"/>
                          <w:color w:val="000000"/>
                          <w:kern w:val="0"/>
                          <w:sz w:val="20"/>
                          <w:szCs w:val="21"/>
                          <w:lang w:bidi="en-US"/>
                        </w:rPr>
                        <m:t>n</m:t>
                      </m:r>
                    </m:sup>
                    <m:e>
                      <m:sSup>
                        <m:sSupPr>
                          <m:ctrlPr>
                            <w:rPr>
                              <w:rFonts w:ascii="DejaVu Math TeX Gyre" w:hAnsi="DejaVu Math TeX Gyre" w:cs="Times New Roman"/>
                              <w:i/>
                              <w:snapToGrid w:val="0"/>
                              <w:color w:val="000000"/>
                              <w:kern w:val="0"/>
                              <w:sz w:val="20"/>
                              <w:szCs w:val="21"/>
                              <w:lang w:bidi="en-US"/>
                            </w:rPr>
                          </m:ctrlPr>
                        </m:sSupPr>
                        <m:e>
                          <m:r>
                            <w:rPr>
                              <w:rFonts w:ascii="DejaVu Math TeX Gyre" w:hAnsi="DejaVu Math TeX Gyre" w:cs="Times New Roman"/>
                              <w:snapToGrid w:val="0"/>
                              <w:color w:val="000000"/>
                              <w:kern w:val="0"/>
                              <w:sz w:val="20"/>
                              <w:szCs w:val="21"/>
                              <w:lang w:bidi="en-US"/>
                            </w:rPr>
                            <m:t>(</m:t>
                          </m:r>
                          <m:sSub>
                            <m:sSubPr>
                              <m:ctrlPr>
                                <w:rPr>
                                  <w:rFonts w:ascii="DejaVu Math TeX Gyre" w:hAnsi="DejaVu Math TeX Gyre" w:cs="Times New Roman"/>
                                  <w:i/>
                                  <w:snapToGrid w:val="0"/>
                                  <w:color w:val="000000"/>
                                  <w:kern w:val="0"/>
                                  <w:sz w:val="20"/>
                                  <w:szCs w:val="21"/>
                                  <w:lang w:bidi="en-US"/>
                                </w:rPr>
                              </m:ctrlPr>
                            </m:sSubPr>
                            <m:e>
                              <m:r>
                                <w:rPr>
                                  <w:rFonts w:ascii="DejaVu Math TeX Gyre" w:hAnsi="DejaVu Math TeX Gyre" w:cs="Times New Roman"/>
                                  <w:snapToGrid w:val="0"/>
                                  <w:color w:val="000000"/>
                                  <w:kern w:val="0"/>
                                  <w:sz w:val="20"/>
                                  <w:szCs w:val="21"/>
                                  <w:lang w:bidi="en-US"/>
                                </w:rPr>
                                <m:t>y</m:t>
                              </m:r>
                            </m:e>
                            <m:sub>
                              <m:r>
                                <w:rPr>
                                  <w:rFonts w:ascii="DejaVu Math TeX Gyre" w:hAnsi="DejaVu Math TeX Gyre" w:cs="Times New Roman"/>
                                  <w:snapToGrid w:val="0"/>
                                  <w:color w:val="000000"/>
                                  <w:kern w:val="0"/>
                                  <w:sz w:val="20"/>
                                  <w:szCs w:val="21"/>
                                  <w:lang w:bidi="en-US"/>
                                </w:rPr>
                                <m:t>i</m:t>
                              </m:r>
                            </m:sub>
                          </m:sSub>
                          <m:r>
                            <w:rPr>
                              <w:rFonts w:ascii="DejaVu Math TeX Gyre" w:hAnsi="DejaVu Math TeX Gyre" w:cs="Times New Roman"/>
                              <w:snapToGrid w:val="0"/>
                              <w:color w:val="000000"/>
                              <w:kern w:val="0"/>
                              <w:sz w:val="20"/>
                              <w:szCs w:val="21"/>
                              <w:lang w:bidi="en-US"/>
                            </w:rPr>
                            <m:t>-</m:t>
                          </m:r>
                          <m:acc>
                            <m:accPr>
                              <m:ctrlPr>
                                <w:rPr>
                                  <w:rFonts w:ascii="DejaVu Math TeX Gyre" w:hAnsi="DejaVu Math TeX Gyre" w:cs="Times New Roman"/>
                                  <w:i/>
                                  <w:snapToGrid w:val="0"/>
                                  <w:color w:val="000000"/>
                                  <w:kern w:val="0"/>
                                  <w:sz w:val="20"/>
                                  <w:szCs w:val="21"/>
                                  <w:lang w:bidi="en-US"/>
                                </w:rPr>
                              </m:ctrlPr>
                            </m:accPr>
                            <m:e>
                              <m:r>
                                <w:rPr>
                                  <w:rFonts w:ascii="DejaVu Math TeX Gyre" w:hAnsi="DejaVu Math TeX Gyre" w:cs="Times New Roman"/>
                                  <w:snapToGrid w:val="0"/>
                                  <w:color w:val="000000"/>
                                  <w:kern w:val="0"/>
                                  <w:sz w:val="20"/>
                                  <w:szCs w:val="21"/>
                                  <w:lang w:bidi="en-US"/>
                                </w:rPr>
                                <m:t>y</m:t>
                              </m:r>
                            </m:e>
                          </m:acc>
                          <m:r>
                            <w:rPr>
                              <w:rFonts w:ascii="DejaVu Math TeX Gyre" w:hAnsi="DejaVu Math TeX Gyre" w:cs="Times New Roman"/>
                              <w:snapToGrid w:val="0"/>
                              <w:color w:val="000000"/>
                              <w:kern w:val="0"/>
                              <w:sz w:val="20"/>
                              <w:szCs w:val="21"/>
                              <w:lang w:bidi="en-US"/>
                            </w:rPr>
                            <m:t>)</m:t>
                          </m:r>
                        </m:e>
                        <m:sup>
                          <m:r>
                            <w:rPr>
                              <w:rFonts w:ascii="DejaVu Math TeX Gyre" w:hAnsi="DejaVu Math TeX Gyre" w:cs="Times New Roman"/>
                              <w:snapToGrid w:val="0"/>
                              <w:color w:val="000000"/>
                              <w:kern w:val="0"/>
                              <w:sz w:val="20"/>
                              <w:szCs w:val="21"/>
                              <w:lang w:bidi="en-US"/>
                            </w:rPr>
                            <m:t>2</m:t>
                          </m:r>
                        </m:sup>
                      </m:sSup>
                    </m:e>
                  </m:nary>
                </m:den>
              </m:f>
            </m:oMath>
            <w:r>
              <w:rPr>
                <w:rFonts w:hAnsi="DejaVu Math TeX Gyre" w:cs="Times New Roman" w:hint="eastAsia"/>
                <w:snapToGrid w:val="0"/>
                <w:color w:val="000000"/>
                <w:kern w:val="0"/>
                <w:sz w:val="20"/>
                <w:szCs w:val="21"/>
                <w:lang w:bidi="en-US"/>
              </w:rPr>
              <w:t xml:space="preserve">    </w:t>
            </w:r>
            <w:r>
              <w:rPr>
                <w:rFonts w:ascii="Palatino Linotype" w:eastAsia="Times New Roman" w:hAnsi="Palatino Linotype" w:cs="Times New Roman" w:hint="eastAsia"/>
                <w:snapToGrid w:val="0"/>
                <w:color w:val="000000"/>
                <w:kern w:val="0"/>
                <w:sz w:val="20"/>
                <w:szCs w:val="21"/>
                <w:lang w:bidi="en-US"/>
              </w:rPr>
              <w:t>(1)</w:t>
            </w:r>
          </w:p>
        </w:tc>
      </w:tr>
      <w:tr w:rsidR="00624AAA" w14:paraId="5C927858" w14:textId="77777777">
        <w:tc>
          <w:tcPr>
            <w:tcW w:w="1960" w:type="dxa"/>
            <w:tcBorders>
              <w:top w:val="nil"/>
              <w:left w:val="nil"/>
              <w:bottom w:val="nil"/>
              <w:right w:val="nil"/>
            </w:tcBorders>
            <w:shd w:val="clear" w:color="auto" w:fill="FFFFFF"/>
            <w:vAlign w:val="center"/>
          </w:tcPr>
          <w:p w14:paraId="3BAA821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out-of-sample fit </w:t>
            </w:r>
            <m:oMath>
              <m:sSubSup>
                <m:sSubSupPr>
                  <m:ctrlPr>
                    <w:rPr>
                      <w:rFonts w:ascii="DejaVu Math TeX Gyre" w:eastAsia="Times New Roman" w:hAnsi="DejaVu Math TeX Gyre" w:cs="Times New Roman"/>
                      <w:snapToGrid w:val="0"/>
                      <w:color w:val="000000"/>
                      <w:kern w:val="0"/>
                      <w:sz w:val="20"/>
                      <w:szCs w:val="21"/>
                      <w:lang w:bidi="en-US"/>
                    </w:rPr>
                  </m:ctrlPr>
                </m:sSubSupPr>
                <m:e>
                  <m:r>
                    <m:rPr>
                      <m:sty m:val="p"/>
                    </m:rPr>
                    <w:rPr>
                      <w:rFonts w:ascii="DejaVu Math TeX Gyre" w:eastAsia="Times New Roman" w:hAnsi="DejaVu Math TeX Gyre" w:cs="Times New Roman"/>
                      <w:snapToGrid w:val="0"/>
                      <w:color w:val="000000"/>
                      <w:kern w:val="0"/>
                      <w:sz w:val="20"/>
                      <w:szCs w:val="21"/>
                      <w:lang w:bidi="en-US"/>
                    </w:rPr>
                    <m:t>R</m:t>
                  </m:r>
                </m:e>
                <m:sub>
                  <m:r>
                    <m:rPr>
                      <m:sty m:val="p"/>
                    </m:rPr>
                    <w:rPr>
                      <w:rFonts w:ascii="DejaVu Math TeX Gyre" w:eastAsia="Times New Roman" w:hAnsi="DejaVu Math TeX Gyre" w:cs="Times New Roman"/>
                      <w:snapToGrid w:val="0"/>
                      <w:color w:val="000000"/>
                      <w:kern w:val="0"/>
                      <w:sz w:val="20"/>
                      <w:szCs w:val="21"/>
                      <w:lang w:bidi="en-US"/>
                    </w:rPr>
                    <m:t>oos</m:t>
                  </m:r>
                </m:sub>
                <m:sup>
                  <m:r>
                    <m:rPr>
                      <m:sty m:val="p"/>
                    </m:rPr>
                    <w:rPr>
                      <w:rFonts w:ascii="DejaVu Math TeX Gyre" w:eastAsia="Times New Roman" w:hAnsi="DejaVu Math TeX Gyre" w:cs="Times New Roman"/>
                      <w:snapToGrid w:val="0"/>
                      <w:color w:val="000000"/>
                      <w:kern w:val="0"/>
                      <w:sz w:val="20"/>
                      <w:szCs w:val="21"/>
                      <w:lang w:bidi="en-US"/>
                    </w:rPr>
                    <m:t>2</m:t>
                  </m:r>
                </m:sup>
              </m:sSubSup>
            </m:oMath>
          </w:p>
        </w:tc>
        <w:tc>
          <w:tcPr>
            <w:tcW w:w="2759" w:type="dxa"/>
            <w:tcBorders>
              <w:top w:val="nil"/>
              <w:left w:val="nil"/>
              <w:bottom w:val="nil"/>
              <w:right w:val="nil"/>
            </w:tcBorders>
            <w:shd w:val="clear" w:color="auto" w:fill="FFFFFF"/>
            <w:vAlign w:val="center"/>
          </w:tcPr>
          <w:p w14:paraId="174D5B9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degree to which the model predicted values fit the actual observed values in the test set</w:t>
            </w:r>
          </w:p>
        </w:tc>
        <w:tc>
          <w:tcPr>
            <w:tcW w:w="3803" w:type="dxa"/>
            <w:vMerge/>
            <w:tcBorders>
              <w:top w:val="nil"/>
              <w:left w:val="nil"/>
              <w:bottom w:val="nil"/>
              <w:right w:val="nil"/>
            </w:tcBorders>
            <w:shd w:val="clear" w:color="auto" w:fill="FFFFFF"/>
            <w:vAlign w:val="center"/>
          </w:tcPr>
          <w:p w14:paraId="0DBE676D"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r>
      <w:tr w:rsidR="00624AAA" w14:paraId="6E4E6AFB" w14:textId="77777777">
        <w:tc>
          <w:tcPr>
            <w:tcW w:w="1960" w:type="dxa"/>
            <w:tcBorders>
              <w:top w:val="nil"/>
              <w:left w:val="nil"/>
              <w:bottom w:val="nil"/>
              <w:right w:val="nil"/>
            </w:tcBorders>
            <w:shd w:val="clear" w:color="auto" w:fill="FFFFFF"/>
            <w:vAlign w:val="center"/>
          </w:tcPr>
          <w:p w14:paraId="7A1FA73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out-of-sample mean squared error </w:t>
            </w:r>
            <w:proofErr w:type="spellStart"/>
            <w:r>
              <w:rPr>
                <w:rFonts w:ascii="Palatino Linotype" w:eastAsia="Times New Roman" w:hAnsi="Palatino Linotype" w:cs="Times New Roman"/>
                <w:snapToGrid w:val="0"/>
                <w:color w:val="000000"/>
                <w:kern w:val="0"/>
                <w:sz w:val="20"/>
                <w:szCs w:val="21"/>
                <w:lang w:bidi="en-US"/>
              </w:rPr>
              <w:t>MSEoos</w:t>
            </w:r>
            <w:proofErr w:type="spellEnd"/>
          </w:p>
        </w:tc>
        <w:tc>
          <w:tcPr>
            <w:tcW w:w="2759" w:type="dxa"/>
            <w:tcBorders>
              <w:top w:val="nil"/>
              <w:left w:val="nil"/>
              <w:bottom w:val="nil"/>
              <w:right w:val="nil"/>
            </w:tcBorders>
            <w:shd w:val="clear" w:color="auto" w:fill="FFFFFF"/>
            <w:vAlign w:val="center"/>
          </w:tcPr>
          <w:p w14:paraId="2B5E4A9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The </w:t>
            </w:r>
            <w:r>
              <w:rPr>
                <w:rFonts w:ascii="Palatino Linotype" w:eastAsia="Times New Roman" w:hAnsi="Palatino Linotype" w:cs="Times New Roman"/>
                <w:snapToGrid w:val="0"/>
                <w:color w:val="000000"/>
                <w:kern w:val="0"/>
                <w:sz w:val="20"/>
                <w:szCs w:val="21"/>
                <w:lang w:bidi="en-US"/>
              </w:rPr>
              <w:t>expected value of the squared difference between the out-of-sample predicted value and the actual value</w:t>
            </w:r>
          </w:p>
        </w:tc>
        <w:tc>
          <w:tcPr>
            <w:tcW w:w="3803" w:type="dxa"/>
            <w:tcBorders>
              <w:top w:val="nil"/>
              <w:left w:val="nil"/>
              <w:bottom w:val="nil"/>
              <w:right w:val="nil"/>
            </w:tcBorders>
            <w:shd w:val="clear" w:color="auto" w:fill="FFFFFF"/>
            <w:vAlign w:val="center"/>
          </w:tcPr>
          <w:p w14:paraId="5B5F33AD" w14:textId="77777777" w:rsidR="00624AAA" w:rsidRDefault="00C46345">
            <w:pPr>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MSEoos</w:t>
            </w:r>
            <w:proofErr w:type="spellEnd"/>
            <w:r>
              <w:rPr>
                <w:rFonts w:ascii="Palatino Linotype" w:eastAsia="Times New Roman" w:hAnsi="Palatino Linotype" w:cs="Times New Roman" w:hint="eastAsia"/>
                <w:snapToGrid w:val="0"/>
                <w:color w:val="000000"/>
                <w:kern w:val="0"/>
                <w:sz w:val="20"/>
                <w:szCs w:val="21"/>
                <w:lang w:bidi="en-US"/>
              </w:rPr>
              <w:t>=1/n</w:t>
            </w:r>
            <m:oMath>
              <m:sSup>
                <m:sSupPr>
                  <m:ctrlPr>
                    <w:rPr>
                      <w:rFonts w:ascii="DejaVu Math TeX Gyre" w:eastAsia="Times New Roman" w:hAnsi="DejaVu Math TeX Gyre" w:cs="Times New Roman"/>
                      <w:snapToGrid w:val="0"/>
                      <w:color w:val="000000"/>
                      <w:kern w:val="0"/>
                      <w:sz w:val="20"/>
                      <w:szCs w:val="21"/>
                      <w:lang w:bidi="en-US"/>
                    </w:rPr>
                  </m:ctrlPr>
                </m:sSupPr>
                <m:e>
                  <m:nary>
                    <m:naryPr>
                      <m:chr m:val="∑"/>
                      <m:limLoc m:val="undOvr"/>
                      <m:ctrlPr>
                        <w:rPr>
                          <w:rFonts w:ascii="DejaVu Math TeX Gyre" w:eastAsia="Times New Roman" w:hAnsi="DejaVu Math TeX Gyre" w:cs="Times New Roman"/>
                          <w:snapToGrid w:val="0"/>
                          <w:color w:val="000000"/>
                          <w:kern w:val="0"/>
                          <w:sz w:val="20"/>
                          <w:szCs w:val="21"/>
                          <w:lang w:bidi="en-US"/>
                        </w:rPr>
                      </m:ctrlPr>
                    </m:naryPr>
                    <m:sub>
                      <m:r>
                        <m:rPr>
                          <m:sty m:val="p"/>
                        </m:rPr>
                        <w:rPr>
                          <w:rFonts w:ascii="DejaVu Math TeX Gyre" w:eastAsia="Times New Roman" w:hAnsi="DejaVu Math TeX Gyre" w:cs="Times New Roman"/>
                          <w:snapToGrid w:val="0"/>
                          <w:color w:val="000000"/>
                          <w:kern w:val="0"/>
                          <w:sz w:val="20"/>
                          <w:szCs w:val="21"/>
                          <w:lang w:bidi="en-US"/>
                        </w:rPr>
                        <m:t>i=1</m:t>
                      </m:r>
                    </m:sub>
                    <m:sup>
                      <m:r>
                        <m:rPr>
                          <m:sty m:val="p"/>
                        </m:rPr>
                        <w:rPr>
                          <w:rFonts w:ascii="DejaVu Math TeX Gyre" w:eastAsia="Times New Roman" w:hAnsi="DejaVu Math TeX Gyre" w:cs="Times New Roman"/>
                          <w:snapToGrid w:val="0"/>
                          <w:color w:val="000000"/>
                          <w:kern w:val="0"/>
                          <w:sz w:val="20"/>
                          <w:szCs w:val="21"/>
                          <w:lang w:bidi="en-US"/>
                        </w:rPr>
                        <m:t>n</m:t>
                      </m:r>
                    </m:sup>
                    <m:e>
                      <m:sSub>
                        <m:sSubPr>
                          <m:ctrlPr>
                            <w:rPr>
                              <w:rFonts w:ascii="DejaVu Math TeX Gyre" w:eastAsia="Times New Roman" w:hAnsi="DejaVu Math TeX Gyre" w:cs="Times New Roman"/>
                              <w:snapToGrid w:val="0"/>
                              <w:color w:val="000000"/>
                              <w:kern w:val="0"/>
                              <w:sz w:val="20"/>
                              <w:szCs w:val="21"/>
                              <w:lang w:bidi="en-US"/>
                            </w:rPr>
                          </m:ctrlPr>
                        </m:sSubPr>
                        <m:e>
                          <m:r>
                            <m:rPr>
                              <m:sty m:val="p"/>
                            </m:rPr>
                            <w:rPr>
                              <w:rFonts w:ascii="DejaVu Math TeX Gyre" w:eastAsia="Times New Roman" w:hAnsi="DejaVu Math TeX Gyre" w:cs="Times New Roman"/>
                              <w:snapToGrid w:val="0"/>
                              <w:color w:val="000000"/>
                              <w:kern w:val="0"/>
                              <w:sz w:val="20"/>
                              <w:szCs w:val="21"/>
                              <w:lang w:bidi="en-US"/>
                            </w:rPr>
                            <m:t>(y</m:t>
                          </m:r>
                        </m:e>
                        <m:sub>
                          <m:r>
                            <m:rPr>
                              <m:sty m:val="p"/>
                            </m:rPr>
                            <w:rPr>
                              <w:rFonts w:ascii="DejaVu Math TeX Gyre" w:eastAsia="Times New Roman" w:hAnsi="DejaVu Math TeX Gyre" w:cs="Times New Roman"/>
                              <w:snapToGrid w:val="0"/>
                              <w:color w:val="000000"/>
                              <w:kern w:val="0"/>
                              <w:sz w:val="20"/>
                              <w:szCs w:val="21"/>
                              <w:lang w:bidi="en-US"/>
                            </w:rPr>
                            <m:t>i</m:t>
                          </m:r>
                        </m:sub>
                      </m:sSub>
                      <m:r>
                        <m:rPr>
                          <m:sty m:val="p"/>
                        </m:rPr>
                        <w:rPr>
                          <w:rFonts w:ascii="DejaVu Math TeX Gyre" w:eastAsia="Times New Roman" w:hAnsi="DejaVu Math TeX Gyre" w:cs="Times New Roman"/>
                          <w:snapToGrid w:val="0"/>
                          <w:color w:val="000000"/>
                          <w:kern w:val="0"/>
                          <w:sz w:val="20"/>
                          <w:szCs w:val="21"/>
                          <w:lang w:bidi="en-US"/>
                        </w:rPr>
                        <m:t>-</m:t>
                      </m:r>
                      <m:acc>
                        <m:accPr>
                          <m:ctrlPr>
                            <w:rPr>
                              <w:rFonts w:ascii="DejaVu Math TeX Gyre" w:eastAsia="Times New Roman" w:hAnsi="DejaVu Math TeX Gyre" w:cs="Times New Roman"/>
                              <w:snapToGrid w:val="0"/>
                              <w:color w:val="000000"/>
                              <w:kern w:val="0"/>
                              <w:sz w:val="20"/>
                              <w:szCs w:val="21"/>
                              <w:lang w:bidi="en-US"/>
                            </w:rPr>
                          </m:ctrlPr>
                        </m:accPr>
                        <m:e>
                          <m:sSub>
                            <m:sSubPr>
                              <m:ctrlPr>
                                <w:rPr>
                                  <w:rFonts w:ascii="DejaVu Math TeX Gyre" w:eastAsia="Times New Roman" w:hAnsi="DejaVu Math TeX Gyre" w:cs="Times New Roman"/>
                                  <w:snapToGrid w:val="0"/>
                                  <w:color w:val="000000"/>
                                  <w:kern w:val="0"/>
                                  <w:sz w:val="20"/>
                                  <w:szCs w:val="21"/>
                                  <w:lang w:bidi="en-US"/>
                                </w:rPr>
                              </m:ctrlPr>
                            </m:sSubPr>
                            <m:e>
                              <m:r>
                                <m:rPr>
                                  <m:sty m:val="p"/>
                                </m:rPr>
                                <w:rPr>
                                  <w:rFonts w:ascii="DejaVu Math TeX Gyre" w:eastAsia="Times New Roman" w:hAnsi="DejaVu Math TeX Gyre" w:cs="Times New Roman"/>
                                  <w:snapToGrid w:val="0"/>
                                  <w:color w:val="000000"/>
                                  <w:kern w:val="0"/>
                                  <w:sz w:val="20"/>
                                  <w:szCs w:val="21"/>
                                  <w:lang w:bidi="en-US"/>
                                </w:rPr>
                                <m:t>y</m:t>
                              </m:r>
                            </m:e>
                            <m:sub>
                              <m:r>
                                <m:rPr>
                                  <m:sty m:val="p"/>
                                </m:rPr>
                                <w:rPr>
                                  <w:rFonts w:ascii="DejaVu Math TeX Gyre" w:eastAsia="Times New Roman" w:hAnsi="DejaVu Math TeX Gyre" w:cs="Times New Roman"/>
                                  <w:snapToGrid w:val="0"/>
                                  <w:color w:val="000000"/>
                                  <w:kern w:val="0"/>
                                  <w:sz w:val="20"/>
                                  <w:szCs w:val="21"/>
                                  <w:lang w:bidi="en-US"/>
                                </w:rPr>
                                <m:t>i</m:t>
                              </m:r>
                            </m:sub>
                          </m:sSub>
                          <m:r>
                            <m:rPr>
                              <m:sty m:val="p"/>
                            </m:rPr>
                            <w:rPr>
                              <w:rFonts w:ascii="DejaVu Math TeX Gyre" w:eastAsia="Times New Roman" w:hAnsi="DejaVu Math TeX Gyre" w:cs="Times New Roman"/>
                              <w:snapToGrid w:val="0"/>
                              <w:color w:val="000000"/>
                              <w:kern w:val="0"/>
                              <w:sz w:val="20"/>
                              <w:szCs w:val="21"/>
                              <w:lang w:bidi="en-US"/>
                            </w:rPr>
                            <m:t>)</m:t>
                          </m:r>
                        </m:e>
                      </m:acc>
                    </m:e>
                  </m:nary>
                </m:e>
                <m:sup>
                  <m:r>
                    <m:rPr>
                      <m:sty m:val="p"/>
                    </m:rPr>
                    <w:rPr>
                      <w:rFonts w:ascii="DejaVu Math TeX Gyre" w:eastAsia="Times New Roman" w:hAnsi="DejaVu Math TeX Gyre" w:cs="Times New Roman"/>
                      <w:snapToGrid w:val="0"/>
                      <w:color w:val="000000"/>
                      <w:kern w:val="0"/>
                      <w:sz w:val="20"/>
                      <w:szCs w:val="21"/>
                      <w:lang w:bidi="en-US"/>
                    </w:rPr>
                    <m:t>2</m:t>
                  </m:r>
                </m:sup>
              </m:sSup>
            </m:oMath>
            <w:proofErr w:type="gramStart"/>
            <w:r>
              <w:rPr>
                <w:rFonts w:ascii="Palatino Linotype" w:eastAsia="Times New Roman" w:hAnsi="Palatino Linotype" w:cs="Times New Roman" w:hint="eastAsia"/>
                <w:snapToGrid w:val="0"/>
                <w:color w:val="000000"/>
                <w:kern w:val="0"/>
                <w:sz w:val="20"/>
                <w:szCs w:val="21"/>
                <w:lang w:bidi="en-US"/>
              </w:rPr>
              <w:t xml:space="preserve">   (</w:t>
            </w:r>
            <w:proofErr w:type="gramEnd"/>
            <w:r>
              <w:rPr>
                <w:rFonts w:ascii="Palatino Linotype" w:eastAsia="Times New Roman" w:hAnsi="Palatino Linotype" w:cs="Times New Roman" w:hint="eastAsia"/>
                <w:snapToGrid w:val="0"/>
                <w:color w:val="000000"/>
                <w:kern w:val="0"/>
                <w:sz w:val="20"/>
                <w:szCs w:val="21"/>
                <w:lang w:bidi="en-US"/>
              </w:rPr>
              <w:t>2)</w:t>
            </w:r>
          </w:p>
        </w:tc>
      </w:tr>
      <w:tr w:rsidR="00624AAA" w14:paraId="1203A1A4" w14:textId="77777777">
        <w:tc>
          <w:tcPr>
            <w:tcW w:w="1960" w:type="dxa"/>
            <w:tcBorders>
              <w:top w:val="nil"/>
              <w:left w:val="nil"/>
              <w:bottom w:val="single" w:sz="12" w:space="0" w:color="000000"/>
              <w:right w:val="nil"/>
            </w:tcBorders>
            <w:shd w:val="clear" w:color="auto" w:fill="FFFFFF"/>
            <w:vAlign w:val="center"/>
          </w:tcPr>
          <w:p w14:paraId="516B180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mean absolute error </w:t>
            </w:r>
            <w:proofErr w:type="spellStart"/>
            <w:r>
              <w:rPr>
                <w:rFonts w:ascii="Palatino Linotype" w:eastAsia="Times New Roman" w:hAnsi="Palatino Linotype" w:cs="Times New Roman"/>
                <w:snapToGrid w:val="0"/>
                <w:color w:val="000000"/>
                <w:kern w:val="0"/>
                <w:sz w:val="20"/>
                <w:szCs w:val="21"/>
                <w:lang w:bidi="en-US"/>
              </w:rPr>
              <w:t>MAEoos</w:t>
            </w:r>
            <w:proofErr w:type="spellEnd"/>
          </w:p>
        </w:tc>
        <w:tc>
          <w:tcPr>
            <w:tcW w:w="2759" w:type="dxa"/>
            <w:tcBorders>
              <w:top w:val="nil"/>
              <w:left w:val="nil"/>
              <w:bottom w:val="single" w:sz="12" w:space="0" w:color="000000"/>
              <w:right w:val="nil"/>
            </w:tcBorders>
            <w:shd w:val="clear" w:color="auto" w:fill="FFFFFF"/>
            <w:vAlign w:val="center"/>
          </w:tcPr>
          <w:p w14:paraId="1486376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The expected value of the absolute value of the difference between the </w:t>
            </w:r>
            <w:r>
              <w:rPr>
                <w:rFonts w:ascii="Palatino Linotype" w:eastAsia="Times New Roman" w:hAnsi="Palatino Linotype" w:cs="Times New Roman"/>
                <w:snapToGrid w:val="0"/>
                <w:color w:val="000000"/>
                <w:kern w:val="0"/>
                <w:sz w:val="20"/>
                <w:szCs w:val="21"/>
                <w:lang w:bidi="en-US"/>
              </w:rPr>
              <w:t>out-of-sample predicted value and the actual value</w:t>
            </w:r>
          </w:p>
        </w:tc>
        <w:tc>
          <w:tcPr>
            <w:tcW w:w="3803" w:type="dxa"/>
            <w:tcBorders>
              <w:top w:val="nil"/>
              <w:left w:val="nil"/>
              <w:bottom w:val="single" w:sz="12" w:space="0" w:color="000000"/>
              <w:right w:val="nil"/>
            </w:tcBorders>
            <w:shd w:val="clear" w:color="auto" w:fill="FFFFFF"/>
            <w:vAlign w:val="center"/>
          </w:tcPr>
          <w:p w14:paraId="7C079F30" w14:textId="77777777" w:rsidR="00624AAA" w:rsidRDefault="00624AAA">
            <w:pPr>
              <w:rPr>
                <w:rFonts w:ascii="Palatino Linotype" w:eastAsia="Times New Roman" w:hAnsi="Palatino Linotype" w:cs="Times New Roman"/>
                <w:snapToGrid w:val="0"/>
                <w:color w:val="000000"/>
                <w:kern w:val="0"/>
                <w:sz w:val="20"/>
                <w:szCs w:val="21"/>
                <w:lang w:bidi="en-US"/>
              </w:rPr>
            </w:pPr>
          </w:p>
          <w:p w14:paraId="4B72E68E" w14:textId="77777777" w:rsidR="00624AAA" w:rsidRDefault="00C46345">
            <w:pPr>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w:t>
            </w:r>
            <w:r>
              <w:rPr>
                <w:rFonts w:ascii="Palatino Linotype" w:eastAsia="Times New Roman" w:hAnsi="Palatino Linotype" w:cs="Times New Roman" w:hint="eastAsia"/>
                <w:snapToGrid w:val="0"/>
                <w:color w:val="000000"/>
                <w:kern w:val="0"/>
                <w:sz w:val="20"/>
                <w:szCs w:val="21"/>
                <w:lang w:bidi="en-US"/>
              </w:rPr>
              <w:t>A</w:t>
            </w:r>
            <w:r>
              <w:rPr>
                <w:rFonts w:ascii="Palatino Linotype" w:eastAsia="Times New Roman" w:hAnsi="Palatino Linotype" w:cs="Times New Roman"/>
                <w:snapToGrid w:val="0"/>
                <w:color w:val="000000"/>
                <w:kern w:val="0"/>
                <w:sz w:val="20"/>
                <w:szCs w:val="21"/>
                <w:lang w:bidi="en-US"/>
              </w:rPr>
              <w:t>Eoos</w:t>
            </w:r>
            <w:proofErr w:type="spellEnd"/>
            <w:r>
              <w:rPr>
                <w:rFonts w:ascii="Palatino Linotype" w:eastAsia="Times New Roman" w:hAnsi="Palatino Linotype" w:cs="Times New Roman" w:hint="eastAsia"/>
                <w:snapToGrid w:val="0"/>
                <w:color w:val="000000"/>
                <w:kern w:val="0"/>
                <w:sz w:val="20"/>
                <w:szCs w:val="21"/>
                <w:lang w:bidi="en-US"/>
              </w:rPr>
              <w:t>=1/n</w:t>
            </w:r>
            <m:oMath>
              <m:nary>
                <m:naryPr>
                  <m:chr m:val="∑"/>
                  <m:limLoc m:val="subSup"/>
                  <m:ctrlPr>
                    <w:rPr>
                      <w:rFonts w:ascii="DejaVu Math TeX Gyre" w:eastAsia="Times New Roman" w:hAnsi="DejaVu Math TeX Gyre" w:cs="Times New Roman"/>
                      <w:i/>
                      <w:snapToGrid w:val="0"/>
                      <w:color w:val="000000"/>
                      <w:kern w:val="0"/>
                      <w:sz w:val="20"/>
                      <w:szCs w:val="21"/>
                      <w:lang w:bidi="en-US"/>
                    </w:rPr>
                  </m:ctrlPr>
                </m:naryPr>
                <m:sub>
                  <m:r>
                    <w:rPr>
                      <w:rFonts w:ascii="DejaVu Math TeX Gyre" w:eastAsia="Times New Roman" w:hAnsi="DejaVu Math TeX Gyre" w:cs="Times New Roman"/>
                      <w:snapToGrid w:val="0"/>
                      <w:color w:val="000000"/>
                      <w:kern w:val="0"/>
                      <w:sz w:val="20"/>
                      <w:szCs w:val="21"/>
                      <w:lang w:bidi="en-US"/>
                    </w:rPr>
                    <m:t>i</m:t>
                  </m:r>
                  <m:r>
                    <w:rPr>
                      <w:rFonts w:ascii="DejaVu Math TeX Gyre" w:hAnsi="DejaVu Math TeX Gyre" w:cs="Times New Roman"/>
                      <w:snapToGrid w:val="0"/>
                      <w:color w:val="000000"/>
                      <w:kern w:val="0"/>
                      <w:sz w:val="20"/>
                      <w:szCs w:val="21"/>
                      <w:lang w:bidi="en-US"/>
                    </w:rPr>
                    <m:t>=1</m:t>
                  </m:r>
                </m:sub>
                <m:sup>
                  <m:r>
                    <w:rPr>
                      <w:rFonts w:ascii="DejaVu Math TeX Gyre" w:eastAsia="Times New Roman" w:hAnsi="DejaVu Math TeX Gyre" w:cs="Times New Roman"/>
                      <w:snapToGrid w:val="0"/>
                      <w:color w:val="000000"/>
                      <w:kern w:val="0"/>
                      <w:sz w:val="20"/>
                      <w:szCs w:val="21"/>
                      <w:lang w:bidi="en-US"/>
                    </w:rPr>
                    <m:t>n</m:t>
                  </m:r>
                </m:sup>
                <m:e>
                  <m:d>
                    <m:dPr>
                      <m:begChr m:val="|"/>
                      <m:endChr m:val="|"/>
                      <m:ctrlPr>
                        <w:rPr>
                          <w:rFonts w:ascii="DejaVu Math TeX Gyre" w:eastAsia="Times New Roman" w:hAnsi="DejaVu Math TeX Gyre" w:cs="Times New Roman"/>
                          <w:i/>
                          <w:snapToGrid w:val="0"/>
                          <w:color w:val="000000"/>
                          <w:kern w:val="0"/>
                          <w:sz w:val="20"/>
                          <w:szCs w:val="21"/>
                          <w:lang w:bidi="en-US"/>
                        </w:rPr>
                      </m:ctrlPr>
                    </m:dPr>
                    <m:e>
                      <m:sSub>
                        <m:sSubPr>
                          <m:ctrlPr>
                            <w:rPr>
                              <w:rFonts w:ascii="DejaVu Math TeX Gyre" w:eastAsia="Times New Roman" w:hAnsi="DejaVu Math TeX Gyre" w:cs="Times New Roman"/>
                              <w:i/>
                              <w:snapToGrid w:val="0"/>
                              <w:color w:val="000000"/>
                              <w:kern w:val="0"/>
                              <w:sz w:val="20"/>
                              <w:szCs w:val="21"/>
                              <w:lang w:bidi="en-US"/>
                            </w:rPr>
                          </m:ctrlPr>
                        </m:sSubPr>
                        <m:e>
                          <m:r>
                            <w:rPr>
                              <w:rFonts w:ascii="DejaVu Math TeX Gyre" w:eastAsia="Times New Roman" w:hAnsi="DejaVu Math TeX Gyre" w:cs="Times New Roman"/>
                              <w:snapToGrid w:val="0"/>
                              <w:color w:val="000000"/>
                              <w:kern w:val="0"/>
                              <w:sz w:val="20"/>
                              <w:szCs w:val="21"/>
                              <w:lang w:bidi="en-US"/>
                            </w:rPr>
                            <m:t>y</m:t>
                          </m:r>
                        </m:e>
                        <m:sub>
                          <m:r>
                            <w:rPr>
                              <w:rFonts w:ascii="DejaVu Math TeX Gyre" w:eastAsia="Times New Roman" w:hAnsi="DejaVu Math TeX Gyre" w:cs="Times New Roman"/>
                              <w:snapToGrid w:val="0"/>
                              <w:color w:val="000000"/>
                              <w:kern w:val="0"/>
                              <w:sz w:val="20"/>
                              <w:szCs w:val="21"/>
                              <w:lang w:bidi="en-US"/>
                            </w:rPr>
                            <m:t>i</m:t>
                          </m:r>
                        </m:sub>
                      </m:sSub>
                      <m:r>
                        <w:rPr>
                          <w:rFonts w:ascii="DejaVu Math TeX Gyre" w:eastAsia="Times New Roman" w:hAnsi="DejaVu Math TeX Gyre" w:cs="Times New Roman"/>
                          <w:snapToGrid w:val="0"/>
                          <w:color w:val="000000"/>
                          <w:kern w:val="0"/>
                          <w:sz w:val="20"/>
                          <w:szCs w:val="21"/>
                          <w:lang w:bidi="en-US"/>
                        </w:rPr>
                        <m:t>-</m:t>
                      </m:r>
                      <m:sSup>
                        <m:sSupPr>
                          <m:ctrlPr>
                            <w:rPr>
                              <w:rFonts w:ascii="DejaVu Math TeX Gyre" w:hAnsi="DejaVu Math TeX Gyre" w:cs="Times New Roman"/>
                              <w:i/>
                              <w:snapToGrid w:val="0"/>
                              <w:color w:val="000000"/>
                              <w:kern w:val="0"/>
                              <w:sz w:val="20"/>
                              <w:szCs w:val="21"/>
                              <w:lang w:bidi="en-US"/>
                            </w:rPr>
                          </m:ctrlPr>
                        </m:sSupPr>
                        <m:e>
                          <m:acc>
                            <m:accPr>
                              <m:ctrlPr>
                                <w:rPr>
                                  <w:rFonts w:ascii="DejaVu Math TeX Gyre" w:hAnsi="DejaVu Math TeX Gyre" w:cs="Times New Roman"/>
                                  <w:i/>
                                  <w:snapToGrid w:val="0"/>
                                  <w:color w:val="000000"/>
                                  <w:kern w:val="0"/>
                                  <w:sz w:val="20"/>
                                  <w:szCs w:val="21"/>
                                  <w:lang w:bidi="en-US"/>
                                </w:rPr>
                              </m:ctrlPr>
                            </m:accPr>
                            <m:e>
                              <m:sSub>
                                <m:sSubPr>
                                  <m:ctrlPr>
                                    <w:rPr>
                                      <w:rFonts w:ascii="DejaVu Math TeX Gyre" w:hAnsi="DejaVu Math TeX Gyre" w:cs="Times New Roman"/>
                                      <w:i/>
                                      <w:snapToGrid w:val="0"/>
                                      <w:color w:val="000000"/>
                                      <w:kern w:val="0"/>
                                      <w:sz w:val="20"/>
                                      <w:szCs w:val="21"/>
                                      <w:lang w:bidi="en-US"/>
                                    </w:rPr>
                                  </m:ctrlPr>
                                </m:sSubPr>
                                <m:e>
                                  <m:r>
                                    <w:rPr>
                                      <w:rFonts w:ascii="DejaVu Math TeX Gyre" w:hAnsi="DejaVu Math TeX Gyre" w:cs="Times New Roman"/>
                                      <w:snapToGrid w:val="0"/>
                                      <w:color w:val="000000"/>
                                      <w:kern w:val="0"/>
                                      <w:sz w:val="20"/>
                                      <w:szCs w:val="21"/>
                                      <w:lang w:bidi="en-US"/>
                                    </w:rPr>
                                    <m:t>y</m:t>
                                  </m:r>
                                </m:e>
                                <m:sub>
                                  <m:r>
                                    <w:rPr>
                                      <w:rFonts w:ascii="DejaVu Math TeX Gyre" w:hAnsi="DejaVu Math TeX Gyre" w:cs="Times New Roman"/>
                                      <w:snapToGrid w:val="0"/>
                                      <w:color w:val="000000"/>
                                      <w:kern w:val="0"/>
                                      <w:sz w:val="20"/>
                                      <w:szCs w:val="21"/>
                                      <w:lang w:bidi="en-US"/>
                                    </w:rPr>
                                    <m:t>1</m:t>
                                  </m:r>
                                </m:sub>
                              </m:sSub>
                            </m:e>
                          </m:acc>
                        </m:e>
                        <m:sup>
                          <m:r>
                            <w:rPr>
                              <w:rFonts w:ascii="DejaVu Math TeX Gyre" w:hAnsi="DejaVu Math TeX Gyre" w:cs="Times New Roman"/>
                              <w:snapToGrid w:val="0"/>
                              <w:color w:val="000000"/>
                              <w:kern w:val="0"/>
                              <w:sz w:val="20"/>
                              <w:szCs w:val="21"/>
                              <w:lang w:bidi="en-US"/>
                            </w:rPr>
                            <m:t>2</m:t>
                          </m:r>
                        </m:sup>
                      </m:sSup>
                    </m:e>
                  </m:d>
                  <m:r>
                    <w:rPr>
                      <w:rFonts w:ascii="DejaVu Math TeX Gyre" w:eastAsia="SimSun" w:hAnsi="DejaVu Math TeX Gyre" w:cs="Times New Roman"/>
                      <w:snapToGrid w:val="0"/>
                      <w:color w:val="000000"/>
                      <w:kern w:val="0"/>
                      <w:sz w:val="20"/>
                      <w:szCs w:val="21"/>
                      <w:lang w:bidi="en-US"/>
                    </w:rPr>
                    <m:t xml:space="preserve">   </m:t>
                  </m:r>
                  <m:r>
                    <m:rPr>
                      <m:sty m:val="p"/>
                    </m:rPr>
                    <w:rPr>
                      <w:rFonts w:ascii="Palatino Linotype" w:eastAsia="Times New Roman" w:hAnsi="Palatino Linotype" w:cs="Times New Roman" w:hint="eastAsia"/>
                      <w:snapToGrid w:val="0"/>
                      <w:color w:val="000000"/>
                      <w:kern w:val="0"/>
                      <w:sz w:val="20"/>
                      <w:szCs w:val="21"/>
                      <w:lang w:bidi="en-US"/>
                    </w:rPr>
                    <m:t>(</m:t>
                  </m:r>
                  <m:r>
                    <m:rPr>
                      <m:sty m:val="p"/>
                    </m:rPr>
                    <w:rPr>
                      <w:rFonts w:ascii="Cambria Math" w:eastAsia="Times New Roman" w:hAnsi="Cambria Math" w:cs="Times New Roman"/>
                      <w:snapToGrid w:val="0"/>
                      <w:color w:val="000000"/>
                      <w:kern w:val="0"/>
                      <w:sz w:val="20"/>
                      <w:szCs w:val="21"/>
                      <w:lang w:bidi="en-US"/>
                    </w:rPr>
                    <m:t>3</m:t>
                  </m:r>
                  <m:r>
                    <m:rPr>
                      <m:sty m:val="p"/>
                    </m:rPr>
                    <w:rPr>
                      <w:rFonts w:ascii="Palatino Linotype" w:eastAsia="Times New Roman" w:hAnsi="Palatino Linotype" w:cs="Times New Roman" w:hint="eastAsia"/>
                      <w:snapToGrid w:val="0"/>
                      <w:color w:val="000000"/>
                      <w:kern w:val="0"/>
                      <w:sz w:val="20"/>
                      <w:szCs w:val="21"/>
                      <w:lang w:bidi="en-US"/>
                    </w:rPr>
                    <m:t>)</m:t>
                  </m:r>
                </m:e>
              </m:nary>
            </m:oMath>
          </w:p>
        </w:tc>
      </w:tr>
    </w:tbl>
    <w:p w14:paraId="305CD211"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snapToGrid w:val="0"/>
          <w:color w:val="000000"/>
          <w:kern w:val="0"/>
          <w:sz w:val="20"/>
          <w:szCs w:val="21"/>
          <w:lang w:bidi="en-US"/>
        </w:rPr>
        <w:t xml:space="preserve">(Source: methods from Uddin et al. (2022) and </w:t>
      </w:r>
      <w:proofErr w:type="spellStart"/>
      <w:r>
        <w:rPr>
          <w:rFonts w:ascii="Palatino Linotype" w:eastAsia="Times New Roman" w:hAnsi="Palatino Linotype" w:cs="Times New Roman"/>
          <w:snapToGrid w:val="0"/>
          <w:color w:val="000000"/>
          <w:kern w:val="0"/>
          <w:sz w:val="20"/>
          <w:szCs w:val="21"/>
          <w:lang w:bidi="en-US"/>
        </w:rPr>
        <w:t>Ağbulut</w:t>
      </w:r>
      <w:proofErr w:type="spellEnd"/>
      <w:r>
        <w:rPr>
          <w:rFonts w:ascii="Palatino Linotype" w:eastAsia="Times New Roman" w:hAnsi="Palatino Linotype" w:cs="Times New Roman"/>
          <w:snapToGrid w:val="0"/>
          <w:color w:val="000000"/>
          <w:kern w:val="0"/>
          <w:sz w:val="20"/>
          <w:szCs w:val="21"/>
          <w:lang w:bidi="en-US"/>
        </w:rPr>
        <w:t xml:space="preserve"> (2022</w:t>
      </w:r>
      <w:proofErr w:type="gramStart"/>
      <w:r>
        <w:rPr>
          <w:rFonts w:ascii="Palatino Linotype" w:eastAsia="Times New Roman" w:hAnsi="Palatino Linotype" w:cs="Times New Roman"/>
          <w:snapToGrid w:val="0"/>
          <w:color w:val="000000"/>
          <w:kern w:val="0"/>
          <w:sz w:val="20"/>
          <w:szCs w:val="21"/>
          <w:lang w:bidi="en-US"/>
        </w:rPr>
        <w:t>) )</w:t>
      </w:r>
      <w:proofErr w:type="gramEnd"/>
      <w:r>
        <w:rPr>
          <w:rFonts w:ascii="Palatino Linotype" w:eastAsia="Times New Roman" w:hAnsi="Palatino Linotype" w:cs="Times New Roman"/>
          <w:snapToGrid w:val="0"/>
          <w:color w:val="000000"/>
          <w:kern w:val="0"/>
          <w:sz w:val="20"/>
          <w:szCs w:val="21"/>
          <w:lang w:bidi="en-US"/>
        </w:rPr>
        <w:t xml:space="preserve">. </w:t>
      </w:r>
    </w:p>
    <w:p w14:paraId="73F3A692"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p w14:paraId="654A2B6B" w14:textId="77777777" w:rsidR="00624AAA" w:rsidRDefault="00C46345">
      <w:pPr>
        <w:pStyle w:val="MDPI22heading2"/>
        <w:spacing w:before="240"/>
        <w:ind w:left="0"/>
        <w:rPr>
          <w:lang w:eastAsia="zh-CN"/>
        </w:rPr>
      </w:pPr>
      <w:r>
        <w:rPr>
          <w:rFonts w:hint="eastAsia"/>
          <w:lang w:eastAsia="zh-CN"/>
        </w:rPr>
        <w:t>3.4</w:t>
      </w:r>
      <w:r>
        <w:rPr>
          <w:lang w:eastAsia="zh-CN"/>
        </w:rPr>
        <w:t xml:space="preserve"> </w:t>
      </w:r>
      <w:r>
        <w:rPr>
          <w:rFonts w:hint="eastAsia"/>
          <w:lang w:eastAsia="zh-CN"/>
        </w:rPr>
        <w:t>Model Explaining</w:t>
      </w:r>
    </w:p>
    <w:p w14:paraId="697095C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bookmarkStart w:id="0" w:name="bookmark12"/>
      <w:bookmarkEnd w:id="0"/>
      <w:r>
        <w:rPr>
          <w:rFonts w:ascii="Palatino Linotype" w:eastAsia="Times New Roman" w:hAnsi="Palatino Linotype" w:cs="Times New Roman"/>
          <w:snapToGrid w:val="0"/>
          <w:color w:val="000000"/>
          <w:kern w:val="0"/>
          <w:sz w:val="20"/>
          <w:szCs w:val="21"/>
          <w:lang w:bidi="en-US"/>
        </w:rPr>
        <w:t xml:space="preserve">Since the purpose of this study is not only to verify whether financial performance, green </w:t>
      </w:r>
      <w:r>
        <w:rPr>
          <w:rFonts w:ascii="Palatino Linotype" w:eastAsia="Times New Roman" w:hAnsi="Palatino Linotype" w:cs="Times New Roman"/>
          <w:snapToGrid w:val="0"/>
          <w:color w:val="000000"/>
          <w:kern w:val="0"/>
          <w:sz w:val="20"/>
          <w:szCs w:val="21"/>
          <w:lang w:bidi="en-US"/>
        </w:rPr>
        <w:lastRenderedPageBreak/>
        <w:t xml:space="preserve">development, </w:t>
      </w:r>
      <w:r>
        <w:rPr>
          <w:rFonts w:ascii="Palatino Linotype" w:eastAsia="Times New Roman" w:hAnsi="Palatino Linotype" w:cs="Times New Roman" w:hint="eastAsia"/>
          <w:snapToGrid w:val="0"/>
          <w:color w:val="000000"/>
          <w:kern w:val="0"/>
          <w:sz w:val="20"/>
          <w:szCs w:val="21"/>
          <w:lang w:bidi="en-US"/>
        </w:rPr>
        <w:t>R&amp;D investment</w:t>
      </w:r>
      <w:r>
        <w:rPr>
          <w:rFonts w:ascii="Palatino Linotype" w:eastAsia="Times New Roman" w:hAnsi="Palatino Linotype" w:cs="Times New Roman"/>
          <w:snapToGrid w:val="0"/>
          <w:color w:val="000000"/>
          <w:kern w:val="0"/>
          <w:sz w:val="20"/>
          <w:szCs w:val="21"/>
          <w:lang w:bidi="en-US"/>
        </w:rPr>
        <w:t>, and supply chain management can predict the level of corporate sustainable development, but also to explore the differences in importanc</w:t>
      </w:r>
      <w:r>
        <w:rPr>
          <w:rFonts w:ascii="Palatino Linotype" w:eastAsia="Times New Roman" w:hAnsi="Palatino Linotype" w:cs="Times New Roman"/>
          <w:snapToGrid w:val="0"/>
          <w:color w:val="000000"/>
          <w:kern w:val="0"/>
          <w:sz w:val="20"/>
          <w:szCs w:val="21"/>
          <w:lang w:bidi="en-US"/>
        </w:rPr>
        <w:t>e among different characteristics and how key characteristics predict the level of corporate sustainable development. Therefore, this paper follows the practices of existing studies and uses Relative Importance and Partial Dependence Plot to further explai</w:t>
      </w:r>
      <w:r>
        <w:rPr>
          <w:rFonts w:ascii="Palatino Linotype" w:eastAsia="Times New Roman" w:hAnsi="Palatino Linotype" w:cs="Times New Roman"/>
          <w:snapToGrid w:val="0"/>
          <w:color w:val="000000"/>
          <w:kern w:val="0"/>
          <w:sz w:val="20"/>
          <w:szCs w:val="21"/>
          <w:lang w:bidi="en-US"/>
        </w:rPr>
        <w:t>n the theoretical connotations behind the model.</w:t>
      </w:r>
    </w:p>
    <w:p w14:paraId="1F2F5222" w14:textId="77777777" w:rsidR="00624AAA" w:rsidRDefault="00C46345">
      <w:pPr>
        <w:pStyle w:val="MDPI23heading3"/>
        <w:ind w:left="0"/>
        <w:rPr>
          <w:lang w:eastAsia="zh-CN"/>
        </w:rPr>
      </w:pPr>
      <w:r>
        <w:rPr>
          <w:rFonts w:hint="eastAsia"/>
          <w:lang w:eastAsia="zh-CN"/>
        </w:rPr>
        <w:t>3.4.1 Relative Importance to Compare Predictive Ability Differences Between Variables</w:t>
      </w:r>
    </w:p>
    <w:p w14:paraId="756E9D7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To compare the differences in predictive ability among various characteristics, this paper uses the feature importance of</w:t>
      </w:r>
      <w:r>
        <w:rPr>
          <w:rFonts w:ascii="Palatino Linotype" w:eastAsia="Times New Roman" w:hAnsi="Palatino Linotype" w:cs="Times New Roman"/>
          <w:snapToGrid w:val="0"/>
          <w:color w:val="000000"/>
          <w:kern w:val="0"/>
          <w:sz w:val="20"/>
          <w:szCs w:val="21"/>
          <w:lang w:bidi="en-US"/>
        </w:rPr>
        <w:t xml:space="preserve"> the Random Forest for analysis. In the Random Forest, feature importance is usually calculated by measuring the contribution of features to the split in the tree. For each node split, the reduction in Gini impurity is calculated, then multiplied by the nu</w:t>
      </w:r>
      <w:r>
        <w:rPr>
          <w:rFonts w:ascii="Palatino Linotype" w:eastAsia="Times New Roman" w:hAnsi="Palatino Linotype" w:cs="Times New Roman"/>
          <w:snapToGrid w:val="0"/>
          <w:color w:val="000000"/>
          <w:kern w:val="0"/>
          <w:sz w:val="20"/>
          <w:szCs w:val="21"/>
          <w:lang w:bidi="en-US"/>
        </w:rPr>
        <w:t>mber of samples in the node, and finally accumulated across the entire tree or forest. The core calculation formula is:</w:t>
      </w:r>
    </w:p>
    <w:p w14:paraId="2F9BEA7F"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p w14:paraId="0B7FE52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m:oMath>
        <m:r>
          <m:rPr>
            <m:sty m:val="p"/>
          </m:rPr>
          <w:rPr>
            <w:rFonts w:ascii="DejaVu Math TeX Gyre" w:eastAsia="Times New Roman" w:hAnsi="DejaVu Math TeX Gyre" w:cs="Times New Roman"/>
            <w:snapToGrid w:val="0"/>
            <w:color w:val="000000"/>
            <w:kern w:val="0"/>
            <w:sz w:val="20"/>
            <w:szCs w:val="21"/>
            <w:lang w:bidi="en-US"/>
          </w:rPr>
          <m:t>[∆I</m:t>
        </m:r>
      </m:oMath>
      <w:r>
        <w:rPr>
          <w:rFonts w:ascii="Palatino Linotype" w:eastAsia="Times New Roman" w:hAnsi="Palatino Linotype" w:cs="Times New Roman" w:hint="eastAsia"/>
          <w:snapToGrid w:val="0"/>
          <w:color w:val="000000"/>
          <w:kern w:val="0"/>
          <w:sz w:val="20"/>
          <w:szCs w:val="21"/>
          <w:lang w:bidi="en-US"/>
        </w:rPr>
        <w:t>(t)=I(t)-(</w:t>
      </w:r>
      <m:oMath>
        <m:f>
          <m:fPr>
            <m:ctrlPr>
              <w:rPr>
                <w:rFonts w:ascii="DejaVu Math TeX Gyre" w:eastAsia="Times New Roman" w:hAnsi="DejaVu Math TeX Gyre" w:cs="Times New Roman"/>
                <w:snapToGrid w:val="0"/>
                <w:color w:val="000000"/>
                <w:kern w:val="0"/>
                <w:sz w:val="16"/>
                <w:szCs w:val="18"/>
                <w:lang w:bidi="en-US"/>
              </w:rPr>
            </m:ctrlPr>
          </m:fPr>
          <m:num>
            <m:sSub>
              <m:sSubPr>
                <m:ctrlPr>
                  <w:rPr>
                    <w:rFonts w:ascii="DejaVu Math TeX Gyre" w:eastAsia="Times New Roman" w:hAnsi="DejaVu Math TeX Gyre" w:cs="Times New Roman"/>
                    <w:snapToGrid w:val="0"/>
                    <w:color w:val="000000"/>
                    <w:kern w:val="0"/>
                    <w:sz w:val="16"/>
                    <w:szCs w:val="18"/>
                    <w:lang w:bidi="en-US"/>
                  </w:rPr>
                </m:ctrlPr>
              </m:sSubPr>
              <m:e>
                <m:r>
                  <m:rPr>
                    <m:sty m:val="p"/>
                  </m:rPr>
                  <w:rPr>
                    <w:rFonts w:ascii="DejaVu Math TeX Gyre" w:eastAsia="Times New Roman" w:hAnsi="DejaVu Math TeX Gyre" w:cs="Times New Roman"/>
                    <w:snapToGrid w:val="0"/>
                    <w:color w:val="000000"/>
                    <w:kern w:val="0"/>
                    <w:sz w:val="16"/>
                    <w:szCs w:val="18"/>
                    <w:lang w:bidi="en-US"/>
                  </w:rPr>
                  <m:t>N</m:t>
                </m:r>
              </m:e>
              <m:sub>
                <m:r>
                  <m:rPr>
                    <m:sty m:val="p"/>
                  </m:rPr>
                  <w:rPr>
                    <w:rFonts w:ascii="DejaVu Math TeX Gyre" w:eastAsia="Times New Roman" w:hAnsi="DejaVu Math TeX Gyre" w:cs="Times New Roman"/>
                    <w:snapToGrid w:val="0"/>
                    <w:color w:val="000000"/>
                    <w:kern w:val="0"/>
                    <w:sz w:val="16"/>
                    <w:szCs w:val="18"/>
                    <w:lang w:bidi="en-US"/>
                  </w:rPr>
                  <m:t>left</m:t>
                </m:r>
              </m:sub>
            </m:sSub>
          </m:num>
          <m:den>
            <m:sSub>
              <m:sSubPr>
                <m:ctrlPr>
                  <w:rPr>
                    <w:rFonts w:ascii="DejaVu Math TeX Gyre" w:eastAsia="Times New Roman" w:hAnsi="DejaVu Math TeX Gyre" w:cs="Times New Roman"/>
                    <w:snapToGrid w:val="0"/>
                    <w:color w:val="000000"/>
                    <w:kern w:val="0"/>
                    <w:sz w:val="16"/>
                    <w:szCs w:val="18"/>
                    <w:lang w:bidi="en-US"/>
                  </w:rPr>
                </m:ctrlPr>
              </m:sSubPr>
              <m:e>
                <m:r>
                  <m:rPr>
                    <m:sty m:val="p"/>
                  </m:rPr>
                  <w:rPr>
                    <w:rFonts w:ascii="DejaVu Math TeX Gyre" w:eastAsia="Times New Roman" w:hAnsi="DejaVu Math TeX Gyre" w:cs="Times New Roman"/>
                    <w:snapToGrid w:val="0"/>
                    <w:color w:val="000000"/>
                    <w:kern w:val="0"/>
                    <w:sz w:val="16"/>
                    <w:szCs w:val="18"/>
                    <w:lang w:bidi="en-US"/>
                  </w:rPr>
                  <m:t>N</m:t>
                </m:r>
              </m:e>
              <m:sub>
                <m:r>
                  <m:rPr>
                    <m:sty m:val="p"/>
                  </m:rPr>
                  <w:rPr>
                    <w:rFonts w:ascii="DejaVu Math TeX Gyre" w:eastAsia="Times New Roman" w:hAnsi="DejaVu Math TeX Gyre" w:cs="Times New Roman"/>
                    <w:snapToGrid w:val="0"/>
                    <w:color w:val="000000"/>
                    <w:kern w:val="0"/>
                    <w:sz w:val="16"/>
                    <w:szCs w:val="18"/>
                    <w:lang w:bidi="en-US"/>
                  </w:rPr>
                  <m:t>t</m:t>
                </m:r>
              </m:sub>
            </m:sSub>
          </m:den>
        </m:f>
      </m:oMath>
      <w:r>
        <w:rPr>
          <w:rFonts w:ascii="Palatino Linotype" w:eastAsia="Times New Roman" w:hAnsi="Palatino Linotype" w:cs="Times New Roman" w:hint="eastAsia"/>
          <w:snapToGrid w:val="0"/>
          <w:color w:val="000000"/>
          <w:kern w:val="0"/>
          <w:sz w:val="20"/>
          <w:szCs w:val="21"/>
          <w:lang w:bidi="en-US"/>
        </w:rPr>
        <w:t xml:space="preserve"> </w:t>
      </w:r>
      <m:oMath>
        <m:r>
          <m:rPr>
            <m:sty m:val="p"/>
          </m:rPr>
          <w:rPr>
            <w:rFonts w:ascii="DejaVu Math TeX Gyre" w:eastAsia="Times New Roman" w:hAnsi="DejaVu Math TeX Gyre" w:cs="Times New Roman"/>
            <w:snapToGrid w:val="0"/>
            <w:color w:val="000000"/>
            <w:kern w:val="0"/>
            <w:sz w:val="20"/>
            <w:szCs w:val="21"/>
            <w:lang w:bidi="en-US"/>
          </w:rPr>
          <m:t>×I(</m:t>
        </m:r>
        <m:sSub>
          <m:sSubPr>
            <m:ctrlPr>
              <w:rPr>
                <w:rFonts w:ascii="DejaVu Math TeX Gyre" w:eastAsia="Times New Roman" w:hAnsi="DejaVu Math TeX Gyre" w:cs="Times New Roman"/>
                <w:snapToGrid w:val="0"/>
                <w:color w:val="000000"/>
                <w:kern w:val="0"/>
                <w:sz w:val="20"/>
                <w:szCs w:val="21"/>
                <w:lang w:bidi="en-US"/>
              </w:rPr>
            </m:ctrlPr>
          </m:sSubPr>
          <m:e>
            <m:r>
              <m:rPr>
                <m:sty m:val="p"/>
              </m:rPr>
              <w:rPr>
                <w:rFonts w:ascii="DejaVu Math TeX Gyre" w:eastAsia="Times New Roman" w:hAnsi="DejaVu Math TeX Gyre" w:cs="Times New Roman"/>
                <w:snapToGrid w:val="0"/>
                <w:color w:val="000000"/>
                <w:kern w:val="0"/>
                <w:sz w:val="20"/>
                <w:szCs w:val="21"/>
                <w:lang w:bidi="en-US"/>
              </w:rPr>
              <m:t>t</m:t>
            </m:r>
          </m:e>
          <m:sub>
            <m:r>
              <m:rPr>
                <m:sty m:val="p"/>
              </m:rPr>
              <w:rPr>
                <w:rFonts w:ascii="DejaVu Math TeX Gyre" w:eastAsia="Times New Roman" w:hAnsi="DejaVu Math TeX Gyre" w:cs="Times New Roman"/>
                <w:snapToGrid w:val="0"/>
                <w:color w:val="000000"/>
                <w:kern w:val="0"/>
                <w:sz w:val="20"/>
                <w:szCs w:val="21"/>
                <w:lang w:bidi="en-US"/>
              </w:rPr>
              <m:t>left</m:t>
            </m:r>
          </m:sub>
        </m:sSub>
        <m:r>
          <m:rPr>
            <m:sty m:val="p"/>
          </m:rPr>
          <w:rPr>
            <w:rFonts w:ascii="DejaVu Math TeX Gyre" w:eastAsia="Times New Roman" w:hAnsi="DejaVu Math TeX Gyre" w:cs="Times New Roman"/>
            <w:snapToGrid w:val="0"/>
            <w:color w:val="000000"/>
            <w:kern w:val="0"/>
            <w:sz w:val="20"/>
            <w:szCs w:val="21"/>
            <w:lang w:bidi="en-US"/>
          </w:rPr>
          <m:t>)</m:t>
        </m:r>
      </m:oMath>
      <w:r>
        <w:rPr>
          <w:rFonts w:ascii="Palatino Linotype" w:eastAsia="Times New Roman" w:hAnsi="Palatino Linotype" w:cs="Times New Roman" w:hint="eastAsia"/>
          <w:snapToGrid w:val="0"/>
          <w:color w:val="000000"/>
          <w:kern w:val="0"/>
          <w:sz w:val="20"/>
          <w:szCs w:val="21"/>
          <w:lang w:bidi="en-US"/>
        </w:rPr>
        <w:t xml:space="preserve"> + </w:t>
      </w:r>
      <m:oMath>
        <m:f>
          <m:fPr>
            <m:ctrlPr>
              <w:rPr>
                <w:rFonts w:ascii="DejaVu Math TeX Gyre" w:eastAsia="Times New Roman" w:hAnsi="DejaVu Math TeX Gyre" w:cs="Times New Roman"/>
                <w:snapToGrid w:val="0"/>
                <w:color w:val="000000"/>
                <w:kern w:val="0"/>
                <w:sz w:val="16"/>
                <w:szCs w:val="18"/>
                <w:lang w:bidi="en-US"/>
              </w:rPr>
            </m:ctrlPr>
          </m:fPr>
          <m:num>
            <m:sSub>
              <m:sSubPr>
                <m:ctrlPr>
                  <w:rPr>
                    <w:rFonts w:ascii="DejaVu Math TeX Gyre" w:eastAsia="Times New Roman" w:hAnsi="DejaVu Math TeX Gyre" w:cs="Times New Roman"/>
                    <w:snapToGrid w:val="0"/>
                    <w:color w:val="000000"/>
                    <w:kern w:val="0"/>
                    <w:sz w:val="16"/>
                    <w:szCs w:val="18"/>
                    <w:lang w:bidi="en-US"/>
                  </w:rPr>
                </m:ctrlPr>
              </m:sSubPr>
              <m:e>
                <m:r>
                  <m:rPr>
                    <m:sty m:val="p"/>
                  </m:rPr>
                  <w:rPr>
                    <w:rFonts w:ascii="DejaVu Math TeX Gyre" w:eastAsia="Times New Roman" w:hAnsi="DejaVu Math TeX Gyre" w:cs="Times New Roman"/>
                    <w:snapToGrid w:val="0"/>
                    <w:color w:val="000000"/>
                    <w:kern w:val="0"/>
                    <w:sz w:val="16"/>
                    <w:szCs w:val="18"/>
                    <w:lang w:bidi="en-US"/>
                  </w:rPr>
                  <m:t>N</m:t>
                </m:r>
              </m:e>
              <m:sub>
                <m:r>
                  <m:rPr>
                    <m:sty m:val="p"/>
                  </m:rPr>
                  <w:rPr>
                    <w:rFonts w:ascii="DejaVu Math TeX Gyre" w:eastAsia="Times New Roman" w:hAnsi="DejaVu Math TeX Gyre" w:cs="Times New Roman"/>
                    <w:snapToGrid w:val="0"/>
                    <w:color w:val="000000"/>
                    <w:kern w:val="0"/>
                    <w:sz w:val="16"/>
                    <w:szCs w:val="18"/>
                    <w:lang w:bidi="en-US"/>
                  </w:rPr>
                  <m:t>rig</m:t>
                </m:r>
                <m:r>
                  <m:rPr>
                    <m:sty m:val="p"/>
                  </m:rPr>
                  <w:rPr>
                    <w:rFonts w:ascii="DejaVu Math TeX Gyre" w:eastAsia="Times New Roman" w:hAnsi="DejaVu Math TeX Gyre" w:cs="Times New Roman"/>
                    <w:snapToGrid w:val="0"/>
                    <w:color w:val="000000"/>
                    <w:kern w:val="0"/>
                    <w:sz w:val="16"/>
                    <w:szCs w:val="18"/>
                    <w:lang w:bidi="en-US"/>
                  </w:rPr>
                  <m:t>h</m:t>
                </m:r>
                <m:r>
                  <m:rPr>
                    <m:sty m:val="p"/>
                  </m:rPr>
                  <w:rPr>
                    <w:rFonts w:ascii="DejaVu Math TeX Gyre" w:eastAsia="Times New Roman" w:hAnsi="DejaVu Math TeX Gyre" w:cs="Times New Roman"/>
                    <w:snapToGrid w:val="0"/>
                    <w:color w:val="000000"/>
                    <w:kern w:val="0"/>
                    <w:sz w:val="16"/>
                    <w:szCs w:val="18"/>
                    <w:lang w:bidi="en-US"/>
                  </w:rPr>
                  <m:t>t</m:t>
                </m:r>
              </m:sub>
            </m:sSub>
          </m:num>
          <m:den>
            <m:sSub>
              <m:sSubPr>
                <m:ctrlPr>
                  <w:rPr>
                    <w:rFonts w:ascii="DejaVu Math TeX Gyre" w:eastAsia="Times New Roman" w:hAnsi="DejaVu Math TeX Gyre" w:cs="Times New Roman"/>
                    <w:snapToGrid w:val="0"/>
                    <w:color w:val="000000"/>
                    <w:kern w:val="0"/>
                    <w:sz w:val="16"/>
                    <w:szCs w:val="18"/>
                    <w:lang w:bidi="en-US"/>
                  </w:rPr>
                </m:ctrlPr>
              </m:sSubPr>
              <m:e>
                <m:r>
                  <m:rPr>
                    <m:sty m:val="p"/>
                  </m:rPr>
                  <w:rPr>
                    <w:rFonts w:ascii="DejaVu Math TeX Gyre" w:eastAsia="Times New Roman" w:hAnsi="DejaVu Math TeX Gyre" w:cs="Times New Roman"/>
                    <w:snapToGrid w:val="0"/>
                    <w:color w:val="000000"/>
                    <w:kern w:val="0"/>
                    <w:sz w:val="16"/>
                    <w:szCs w:val="18"/>
                    <w:lang w:bidi="en-US"/>
                  </w:rPr>
                  <m:t>N</m:t>
                </m:r>
              </m:e>
              <m:sub>
                <m:r>
                  <m:rPr>
                    <m:sty m:val="p"/>
                  </m:rPr>
                  <w:rPr>
                    <w:rFonts w:ascii="DejaVu Math TeX Gyre" w:eastAsia="Times New Roman" w:hAnsi="DejaVu Math TeX Gyre" w:cs="Times New Roman"/>
                    <w:snapToGrid w:val="0"/>
                    <w:color w:val="000000"/>
                    <w:kern w:val="0"/>
                    <w:sz w:val="16"/>
                    <w:szCs w:val="18"/>
                    <w:lang w:bidi="en-US"/>
                  </w:rPr>
                  <m:t>t</m:t>
                </m:r>
              </m:sub>
            </m:sSub>
          </m:den>
        </m:f>
        <m:r>
          <m:rPr>
            <m:sty m:val="p"/>
          </m:rPr>
          <w:rPr>
            <w:rFonts w:ascii="DejaVu Math TeX Gyre" w:eastAsia="Times New Roman" w:hAnsi="DejaVu Math TeX Gyre" w:cs="Times New Roman"/>
            <w:snapToGrid w:val="0"/>
            <w:color w:val="000000"/>
            <w:kern w:val="0"/>
            <w:sz w:val="16"/>
            <w:szCs w:val="21"/>
            <w:lang w:bidi="en-US"/>
          </w:rPr>
          <m:t>×I(</m:t>
        </m:r>
        <m:sSub>
          <m:sSubPr>
            <m:ctrlPr>
              <w:rPr>
                <w:rFonts w:ascii="DejaVu Math TeX Gyre" w:eastAsia="Times New Roman" w:hAnsi="DejaVu Math TeX Gyre" w:cs="Times New Roman"/>
                <w:snapToGrid w:val="0"/>
                <w:color w:val="000000"/>
                <w:kern w:val="0"/>
                <w:sz w:val="16"/>
                <w:szCs w:val="21"/>
                <w:lang w:bidi="en-US"/>
              </w:rPr>
            </m:ctrlPr>
          </m:sSubPr>
          <m:e>
            <m:r>
              <m:rPr>
                <m:sty m:val="p"/>
              </m:rPr>
              <w:rPr>
                <w:rFonts w:ascii="DejaVu Math TeX Gyre" w:eastAsia="Times New Roman" w:hAnsi="DejaVu Math TeX Gyre" w:cs="Times New Roman"/>
                <w:snapToGrid w:val="0"/>
                <w:color w:val="000000"/>
                <w:kern w:val="0"/>
                <w:sz w:val="16"/>
                <w:szCs w:val="21"/>
                <w:lang w:bidi="en-US"/>
              </w:rPr>
              <m:t>t</m:t>
            </m:r>
          </m:e>
          <m:sub>
            <m:r>
              <m:rPr>
                <m:sty m:val="p"/>
              </m:rPr>
              <w:rPr>
                <w:rFonts w:ascii="DejaVu Math TeX Gyre" w:eastAsia="Times New Roman" w:hAnsi="DejaVu Math TeX Gyre" w:cs="Times New Roman"/>
                <w:snapToGrid w:val="0"/>
                <w:color w:val="000000"/>
                <w:kern w:val="0"/>
                <w:sz w:val="16"/>
                <w:szCs w:val="21"/>
                <w:lang w:bidi="en-US"/>
              </w:rPr>
              <m:t>right</m:t>
            </m:r>
          </m:sub>
        </m:sSub>
        <m:r>
          <m:rPr>
            <m:sty m:val="p"/>
          </m:rPr>
          <w:rPr>
            <w:rFonts w:ascii="DejaVu Math TeX Gyre" w:eastAsia="Times New Roman" w:hAnsi="DejaVu Math TeX Gyre" w:cs="Times New Roman"/>
            <w:snapToGrid w:val="0"/>
            <w:color w:val="000000"/>
            <w:kern w:val="0"/>
            <w:sz w:val="16"/>
            <w:szCs w:val="21"/>
            <w:lang w:bidi="en-US"/>
          </w:rPr>
          <m:t>))]</m:t>
        </m:r>
      </m:oMath>
      <w:r>
        <w:rPr>
          <w:rFonts w:ascii="Palatino Linotype" w:eastAsia="Times New Roman" w:hAnsi="Palatino Linotype" w:cs="Times New Roman" w:hint="eastAsia"/>
          <w:snapToGrid w:val="0"/>
          <w:color w:val="000000"/>
          <w:kern w:val="0"/>
          <w:sz w:val="20"/>
          <w:szCs w:val="21"/>
          <w:lang w:bidi="en-US"/>
        </w:rPr>
        <w:t xml:space="preserve">                  </w:t>
      </w:r>
      <w:proofErr w:type="gramStart"/>
      <w:r>
        <w:rPr>
          <w:rFonts w:ascii="Palatino Linotype" w:eastAsia="Times New Roman" w:hAnsi="Palatino Linotype" w:cs="Times New Roman" w:hint="eastAsia"/>
          <w:snapToGrid w:val="0"/>
          <w:color w:val="000000"/>
          <w:kern w:val="0"/>
          <w:sz w:val="20"/>
          <w:szCs w:val="21"/>
          <w:lang w:bidi="en-US"/>
        </w:rPr>
        <w:t xml:space="preserve">   (</w:t>
      </w:r>
      <w:proofErr w:type="gramEnd"/>
      <w:r>
        <w:rPr>
          <w:rFonts w:ascii="Palatino Linotype" w:eastAsia="Times New Roman" w:hAnsi="Palatino Linotype" w:cs="Times New Roman" w:hint="eastAsia"/>
          <w:snapToGrid w:val="0"/>
          <w:color w:val="000000"/>
          <w:kern w:val="0"/>
          <w:sz w:val="20"/>
          <w:szCs w:val="21"/>
          <w:lang w:bidi="en-US"/>
        </w:rPr>
        <w:t>4)</w:t>
      </w:r>
    </w:p>
    <w:p w14:paraId="4487BD6C"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p w14:paraId="267ABC6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In Equation (</w:t>
      </w:r>
      <w:r>
        <w:rPr>
          <w:rFonts w:ascii="Palatino Linotype" w:eastAsia="Times New Roman" w:hAnsi="Palatino Linotype" w:cs="Times New Roman" w:hint="eastAsia"/>
          <w:snapToGrid w:val="0"/>
          <w:color w:val="000000"/>
          <w:kern w:val="0"/>
          <w:sz w:val="20"/>
          <w:szCs w:val="21"/>
          <w:lang w:bidi="en-US"/>
        </w:rPr>
        <w:t>4</w:t>
      </w:r>
      <w:r>
        <w:rPr>
          <w:rFonts w:ascii="Palatino Linotype" w:eastAsia="Times New Roman" w:hAnsi="Palatino Linotype" w:cs="Times New Roman"/>
          <w:snapToGrid w:val="0"/>
          <w:color w:val="000000"/>
          <w:kern w:val="0"/>
          <w:sz w:val="20"/>
          <w:szCs w:val="21"/>
          <w:lang w:bidi="en-US"/>
        </w:rPr>
        <w:t xml:space="preserve">), </w:t>
      </w:r>
      <w:proofErr w:type="spellStart"/>
      <w:r>
        <w:rPr>
          <w:rFonts w:ascii="Palatino Linotype" w:eastAsia="Times New Roman" w:hAnsi="Palatino Linotype" w:cs="Times New Roman"/>
          <w:snapToGrid w:val="0"/>
          <w:color w:val="000000"/>
          <w:kern w:val="0"/>
          <w:sz w:val="20"/>
          <w:szCs w:val="21"/>
          <w:lang w:bidi="en-US"/>
        </w:rPr>
        <w:t>Nt</w:t>
      </w:r>
      <w:proofErr w:type="spellEnd"/>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 xml:space="preserve">is the number of samples in node t; </w:t>
      </w:r>
      <w:proofErr w:type="spellStart"/>
      <w:r>
        <w:rPr>
          <w:rFonts w:ascii="Palatino Linotype" w:eastAsia="Times New Roman" w:hAnsi="Palatino Linotype" w:cs="Times New Roman"/>
          <w:snapToGrid w:val="0"/>
          <w:color w:val="000000"/>
          <w:kern w:val="0"/>
          <w:sz w:val="20"/>
          <w:szCs w:val="21"/>
          <w:lang w:bidi="en-US"/>
        </w:rPr>
        <w:t>Nleft</w:t>
      </w:r>
      <w:proofErr w:type="spellEnd"/>
      <w:r>
        <w:rPr>
          <w:rFonts w:ascii="Palatino Linotype" w:eastAsia="Times New Roman" w:hAnsi="Palatino Linotype" w:cs="Times New Roman"/>
          <w:snapToGrid w:val="0"/>
          <w:color w:val="000000"/>
          <w:kern w:val="0"/>
          <w:sz w:val="20"/>
          <w:szCs w:val="21"/>
          <w:lang w:bidi="en-US"/>
        </w:rPr>
        <w:t xml:space="preserve"> and </w:t>
      </w:r>
      <w:proofErr w:type="spellStart"/>
      <w:r>
        <w:rPr>
          <w:rFonts w:ascii="Palatino Linotype" w:eastAsia="Times New Roman" w:hAnsi="Palatino Linotype" w:cs="Times New Roman"/>
          <w:snapToGrid w:val="0"/>
          <w:color w:val="000000"/>
          <w:kern w:val="0"/>
          <w:sz w:val="20"/>
          <w:szCs w:val="21"/>
          <w:lang w:bidi="en-US"/>
        </w:rPr>
        <w:t>Nright</w:t>
      </w:r>
      <w:proofErr w:type="spellEnd"/>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are the number of samples in the left and right child nodes, respectively. Then, the I(t)of each node is weighted by the number of samples in the node to obtain the total Gini reduction for each feature. Finally, these reductions are norma</w:t>
      </w:r>
      <w:r>
        <w:rPr>
          <w:rFonts w:ascii="Palatino Linotype" w:eastAsia="Times New Roman" w:hAnsi="Palatino Linotype" w:cs="Times New Roman"/>
          <w:snapToGrid w:val="0"/>
          <w:color w:val="000000"/>
          <w:kern w:val="0"/>
          <w:sz w:val="20"/>
          <w:szCs w:val="21"/>
          <w:lang w:bidi="en-US"/>
        </w:rPr>
        <w:t>lized to obtain the relative importance of each feature.</w:t>
      </w:r>
    </w:p>
    <w:p w14:paraId="4D9B02BA" w14:textId="77777777" w:rsidR="00624AAA" w:rsidRDefault="00C46345">
      <w:pPr>
        <w:pStyle w:val="MDPI23heading3"/>
        <w:ind w:left="0"/>
        <w:rPr>
          <w:lang w:eastAsia="zh-CN"/>
        </w:rPr>
      </w:pPr>
      <w:r>
        <w:rPr>
          <w:rFonts w:hint="eastAsia"/>
          <w:lang w:eastAsia="zh-CN"/>
        </w:rPr>
        <w:t>3.4.2 Partial dependence plots explain the predicted patterns and marginal impacts of key variables</w:t>
      </w:r>
    </w:p>
    <w:p w14:paraId="4EC479B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To further explain how key characteristics predict the level of corporate digital </w:t>
      </w:r>
      <w:r>
        <w:rPr>
          <w:rFonts w:ascii="Palatino Linotype" w:eastAsia="Times New Roman" w:hAnsi="Palatino Linotype" w:cs="Times New Roman"/>
          <w:snapToGrid w:val="0"/>
          <w:color w:val="000000"/>
          <w:kern w:val="0"/>
          <w:sz w:val="20"/>
          <w:szCs w:val="21"/>
          <w:lang w:bidi="en-US"/>
        </w:rPr>
        <w:t>transformation, this paper uses Partial Dependence Plot for in-depth analysis. The core calculation formula is:</w:t>
      </w:r>
    </w:p>
    <w:p w14:paraId="627DC9F4"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p w14:paraId="0EB96E2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15"/>
          <w:szCs w:val="15"/>
          <w:lang w:bidi="en-US"/>
        </w:rPr>
        <w:t>fs(</w:t>
      </w:r>
      <w:proofErr w:type="spellStart"/>
      <w:r>
        <w:rPr>
          <w:rFonts w:ascii="Palatino Linotype" w:eastAsia="Times New Roman" w:hAnsi="Palatino Linotype" w:cs="Times New Roman" w:hint="eastAsia"/>
          <w:snapToGrid w:val="0"/>
          <w:color w:val="000000"/>
          <w:kern w:val="0"/>
          <w:sz w:val="15"/>
          <w:szCs w:val="15"/>
          <w:lang w:bidi="en-US"/>
        </w:rPr>
        <w:t>xs</w:t>
      </w:r>
      <w:proofErr w:type="spellEnd"/>
      <w:r>
        <w:rPr>
          <w:rFonts w:ascii="Palatino Linotype" w:eastAsia="Times New Roman" w:hAnsi="Palatino Linotype" w:cs="Times New Roman" w:hint="eastAsia"/>
          <w:snapToGrid w:val="0"/>
          <w:color w:val="000000"/>
          <w:kern w:val="0"/>
          <w:sz w:val="15"/>
          <w:szCs w:val="15"/>
          <w:lang w:bidi="en-US"/>
        </w:rPr>
        <w:t>)=</w:t>
      </w:r>
      <m:oMath>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E</m:t>
            </m:r>
          </m:e>
          <m:sub>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X</m:t>
                </m:r>
              </m:e>
              <m:sub>
                <m:r>
                  <m:rPr>
                    <m:sty m:val="p"/>
                  </m:rPr>
                  <w:rPr>
                    <w:rFonts w:ascii="DejaVu Math TeX Gyre" w:eastAsia="Times New Roman" w:hAnsi="DejaVu Math TeX Gyre" w:cs="Times New Roman"/>
                    <w:snapToGrid w:val="0"/>
                    <w:color w:val="000000"/>
                    <w:kern w:val="0"/>
                    <w:sz w:val="15"/>
                    <w:szCs w:val="15"/>
                    <w:lang w:bidi="en-US"/>
                  </w:rPr>
                  <m:t>C</m:t>
                </m:r>
              </m:sub>
            </m:sSub>
          </m:sub>
        </m:sSub>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[f(x</m:t>
            </m:r>
          </m:e>
          <m:sub>
            <m:r>
              <m:rPr>
                <m:sty m:val="p"/>
              </m:rPr>
              <w:rPr>
                <w:rFonts w:ascii="DejaVu Math TeX Gyre" w:eastAsia="Times New Roman" w:hAnsi="DejaVu Math TeX Gyre" w:cs="Times New Roman"/>
                <w:snapToGrid w:val="0"/>
                <w:color w:val="000000"/>
                <w:kern w:val="0"/>
                <w:sz w:val="15"/>
                <w:szCs w:val="15"/>
                <w:lang w:bidi="en-US"/>
              </w:rPr>
              <m:t>s</m:t>
            </m:r>
          </m:sub>
        </m:sSub>
        <m:r>
          <m:rPr>
            <m:sty m:val="p"/>
          </m:rPr>
          <w:rPr>
            <w:rFonts w:ascii="DejaVu Math TeX Gyre" w:eastAsia="Times New Roman" w:hAnsi="DejaVu Math TeX Gyre" w:cs="Times New Roman"/>
            <w:snapToGrid w:val="0"/>
            <w:color w:val="000000"/>
            <w:kern w:val="0"/>
            <w:sz w:val="15"/>
            <w:szCs w:val="15"/>
            <w:lang w:bidi="en-US"/>
          </w:rPr>
          <m:t>,</m:t>
        </m:r>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X</m:t>
            </m:r>
          </m:e>
          <m:sub>
            <m:r>
              <m:rPr>
                <m:sty m:val="p"/>
              </m:rPr>
              <w:rPr>
                <w:rFonts w:ascii="DejaVu Math TeX Gyre" w:eastAsia="Times New Roman" w:hAnsi="DejaVu Math TeX Gyre" w:cs="Times New Roman"/>
                <w:snapToGrid w:val="0"/>
                <w:color w:val="000000"/>
                <w:kern w:val="0"/>
                <w:sz w:val="15"/>
                <w:szCs w:val="15"/>
                <w:lang w:bidi="en-US"/>
              </w:rPr>
              <m:t>c</m:t>
            </m:r>
          </m:sub>
        </m:sSub>
        <m:r>
          <m:rPr>
            <m:sty m:val="p"/>
          </m:rPr>
          <w:rPr>
            <w:rFonts w:ascii="DejaVu Math TeX Gyre" w:eastAsia="Times New Roman" w:hAnsi="DejaVu Math TeX Gyre" w:cs="Times New Roman"/>
            <w:snapToGrid w:val="0"/>
            <w:color w:val="000000"/>
            <w:kern w:val="0"/>
            <w:sz w:val="15"/>
            <w:szCs w:val="15"/>
            <w:lang w:bidi="en-US"/>
          </w:rPr>
          <m:t xml:space="preserve">)] </m:t>
        </m:r>
      </m:oMath>
      <w:r>
        <w:rPr>
          <w:rFonts w:ascii="Palatino Linotype" w:eastAsia="Times New Roman" w:hAnsi="Palatino Linotype" w:cs="Times New Roman" w:hint="eastAsia"/>
          <w:snapToGrid w:val="0"/>
          <w:color w:val="000000"/>
          <w:kern w:val="0"/>
          <w:sz w:val="15"/>
          <w:szCs w:val="15"/>
          <w:lang w:bidi="en-US"/>
        </w:rPr>
        <w:t xml:space="preserve"> = </w:t>
      </w:r>
      <m:oMath>
        <m:nary>
          <m:naryPr>
            <m:limLoc m:val="undOvr"/>
            <m:subHide m:val="1"/>
            <m:supHide m:val="1"/>
            <m:ctrlPr>
              <w:rPr>
                <w:rFonts w:ascii="DejaVu Math TeX Gyre" w:eastAsia="Times New Roman" w:hAnsi="DejaVu Math TeX Gyre" w:cs="Times New Roman"/>
                <w:snapToGrid w:val="0"/>
                <w:color w:val="000000"/>
                <w:kern w:val="0"/>
                <w:sz w:val="15"/>
                <w:szCs w:val="15"/>
                <w:lang w:bidi="en-US"/>
              </w:rPr>
            </m:ctrlPr>
          </m:naryPr>
          <m:sub/>
          <m:sup/>
          <m:e>
            <m:r>
              <m:rPr>
                <m:sty m:val="p"/>
              </m:rPr>
              <w:rPr>
                <w:rFonts w:ascii="DejaVu Math TeX Gyre" w:eastAsia="Times New Roman" w:hAnsi="DejaVu Math TeX Gyre" w:cs="Times New Roman"/>
                <w:snapToGrid w:val="0"/>
                <w:color w:val="000000"/>
                <w:kern w:val="0"/>
                <w:sz w:val="15"/>
                <w:szCs w:val="15"/>
                <w:lang w:bidi="en-US"/>
              </w:rPr>
              <m:t>f(</m:t>
            </m:r>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x</m:t>
                </m:r>
              </m:e>
              <m:sub>
                <m:r>
                  <m:rPr>
                    <m:sty m:val="p"/>
                  </m:rPr>
                  <w:rPr>
                    <w:rFonts w:ascii="DejaVu Math TeX Gyre" w:eastAsia="Times New Roman" w:hAnsi="DejaVu Math TeX Gyre" w:cs="Times New Roman"/>
                    <w:snapToGrid w:val="0"/>
                    <w:color w:val="000000"/>
                    <w:kern w:val="0"/>
                    <w:sz w:val="15"/>
                    <w:szCs w:val="15"/>
                    <w:lang w:bidi="en-US"/>
                  </w:rPr>
                  <m:t>s</m:t>
                </m:r>
              </m:sub>
            </m:sSub>
          </m:e>
        </m:nary>
        <m:r>
          <m:rPr>
            <m:sty m:val="p"/>
          </m:rPr>
          <w:rPr>
            <w:rFonts w:ascii="DejaVu Math TeX Gyre" w:eastAsia="Times New Roman" w:hAnsi="DejaVu Math TeX Gyre" w:cs="Times New Roman"/>
            <w:snapToGrid w:val="0"/>
            <w:color w:val="000000"/>
            <w:kern w:val="0"/>
            <w:sz w:val="15"/>
            <w:szCs w:val="15"/>
            <w:lang w:bidi="en-US"/>
          </w:rPr>
          <m:t>,</m:t>
        </m:r>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X</m:t>
            </m:r>
          </m:e>
          <m:sub>
            <m:r>
              <m:rPr>
                <m:sty m:val="p"/>
              </m:rPr>
              <w:rPr>
                <w:rFonts w:ascii="DejaVu Math TeX Gyre" w:eastAsia="Times New Roman" w:hAnsi="DejaVu Math TeX Gyre" w:cs="Times New Roman"/>
                <w:snapToGrid w:val="0"/>
                <w:color w:val="000000"/>
                <w:kern w:val="0"/>
                <w:sz w:val="15"/>
                <w:szCs w:val="15"/>
                <w:lang w:bidi="en-US"/>
              </w:rPr>
              <m:t>c</m:t>
            </m:r>
          </m:sub>
        </m:sSub>
        <m:r>
          <m:rPr>
            <m:sty m:val="p"/>
          </m:rPr>
          <w:rPr>
            <w:rFonts w:ascii="DejaVu Math TeX Gyre" w:eastAsia="Times New Roman" w:hAnsi="DejaVu Math TeX Gyre" w:cs="Times New Roman"/>
            <w:snapToGrid w:val="0"/>
            <w:color w:val="000000"/>
            <w:kern w:val="0"/>
            <w:sz w:val="15"/>
            <w:szCs w:val="15"/>
            <w:lang w:bidi="en-US"/>
          </w:rPr>
          <m:t>)dP(</m:t>
        </m:r>
        <m:sSub>
          <m:sSubPr>
            <m:ctrlPr>
              <w:rPr>
                <w:rFonts w:ascii="DejaVu Math TeX Gyre" w:eastAsia="Times New Roman" w:hAnsi="DejaVu Math TeX Gyre" w:cs="Times New Roman"/>
                <w:snapToGrid w:val="0"/>
                <w:color w:val="000000"/>
                <w:kern w:val="0"/>
                <w:sz w:val="15"/>
                <w:szCs w:val="15"/>
                <w:lang w:bidi="en-US"/>
              </w:rPr>
            </m:ctrlPr>
          </m:sSubPr>
          <m:e>
            <m:r>
              <m:rPr>
                <m:sty m:val="p"/>
              </m:rPr>
              <w:rPr>
                <w:rFonts w:ascii="DejaVu Math TeX Gyre" w:eastAsia="Times New Roman" w:hAnsi="DejaVu Math TeX Gyre" w:cs="Times New Roman"/>
                <w:snapToGrid w:val="0"/>
                <w:color w:val="000000"/>
                <w:kern w:val="0"/>
                <w:sz w:val="15"/>
                <w:szCs w:val="15"/>
                <w:lang w:bidi="en-US"/>
              </w:rPr>
              <m:t>X</m:t>
            </m:r>
          </m:e>
          <m:sub>
            <m:r>
              <m:rPr>
                <m:sty m:val="p"/>
              </m:rPr>
              <w:rPr>
                <w:rFonts w:ascii="DejaVu Math TeX Gyre" w:eastAsia="Times New Roman" w:hAnsi="DejaVu Math TeX Gyre" w:cs="Times New Roman"/>
                <w:snapToGrid w:val="0"/>
                <w:color w:val="000000"/>
                <w:kern w:val="0"/>
                <w:sz w:val="15"/>
                <w:szCs w:val="15"/>
                <w:lang w:bidi="en-US"/>
              </w:rPr>
              <m:t>c</m:t>
            </m:r>
          </m:sub>
        </m:sSub>
        <m:r>
          <m:rPr>
            <m:sty m:val="p"/>
          </m:rPr>
          <w:rPr>
            <w:rFonts w:ascii="DejaVu Math TeX Gyre" w:eastAsia="Times New Roman" w:hAnsi="DejaVu Math TeX Gyre" w:cs="Times New Roman"/>
            <w:snapToGrid w:val="0"/>
            <w:color w:val="000000"/>
            <w:kern w:val="0"/>
            <w:sz w:val="15"/>
            <w:szCs w:val="15"/>
            <w:lang w:bidi="en-US"/>
          </w:rPr>
          <m:t>)</m:t>
        </m:r>
      </m:oMath>
      <w:r>
        <w:rPr>
          <w:rFonts w:ascii="Palatino Linotype" w:eastAsia="Times New Roman" w:hAnsi="Palatino Linotype" w:cs="Times New Roman" w:hint="eastAsia"/>
          <w:snapToGrid w:val="0"/>
          <w:color w:val="000000"/>
          <w:kern w:val="0"/>
          <w:sz w:val="20"/>
          <w:szCs w:val="21"/>
          <w:lang w:bidi="en-US"/>
        </w:rPr>
        <w:t xml:space="preserve">                         </w:t>
      </w:r>
      <w:proofErr w:type="gramStart"/>
      <w:r>
        <w:rPr>
          <w:rFonts w:ascii="Palatino Linotype" w:eastAsia="Times New Roman" w:hAnsi="Palatino Linotype" w:cs="Times New Roman" w:hint="eastAsia"/>
          <w:snapToGrid w:val="0"/>
          <w:color w:val="000000"/>
          <w:kern w:val="0"/>
          <w:sz w:val="20"/>
          <w:szCs w:val="21"/>
          <w:lang w:bidi="en-US"/>
        </w:rPr>
        <w:t xml:space="preserve">   (</w:t>
      </w:r>
      <w:proofErr w:type="gramEnd"/>
      <w:r>
        <w:rPr>
          <w:rFonts w:ascii="Palatino Linotype" w:eastAsia="Times New Roman" w:hAnsi="Palatino Linotype" w:cs="Times New Roman" w:hint="eastAsia"/>
          <w:snapToGrid w:val="0"/>
          <w:color w:val="000000"/>
          <w:kern w:val="0"/>
          <w:sz w:val="20"/>
          <w:szCs w:val="21"/>
          <w:lang w:bidi="en-US"/>
        </w:rPr>
        <w:t>5)</w:t>
      </w:r>
    </w:p>
    <w:p w14:paraId="7AC2D5A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 xml:space="preserve">  </w:t>
      </w:r>
    </w:p>
    <w:p w14:paraId="1F8C716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In Equation (</w:t>
      </w:r>
      <w:r>
        <w:rPr>
          <w:rFonts w:ascii="Palatino Linotype" w:eastAsia="Times New Roman" w:hAnsi="Palatino Linotype" w:cs="Times New Roman" w:hint="eastAsia"/>
          <w:snapToGrid w:val="0"/>
          <w:color w:val="000000"/>
          <w:kern w:val="0"/>
          <w:sz w:val="20"/>
          <w:szCs w:val="21"/>
          <w:lang w:bidi="en-US"/>
        </w:rPr>
        <w:t>5</w:t>
      </w:r>
      <w:r>
        <w:rPr>
          <w:rFonts w:ascii="Palatino Linotype" w:eastAsia="Times New Roman" w:hAnsi="Palatino Linotype" w:cs="Times New Roman"/>
          <w:snapToGrid w:val="0"/>
          <w:color w:val="000000"/>
          <w:kern w:val="0"/>
          <w:sz w:val="20"/>
          <w:szCs w:val="21"/>
          <w:lang w:bidi="en-US"/>
        </w:rPr>
        <w:t>), fs</w:t>
      </w:r>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 xml:space="preserve">is the response function for a given sample; </w:t>
      </w:r>
      <w:r>
        <w:rPr>
          <w:rFonts w:ascii="Palatino Linotype" w:eastAsia="Times New Roman" w:hAnsi="Palatino Linotype" w:cs="Times New Roman" w:hint="eastAsia"/>
          <w:snapToGrid w:val="0"/>
          <w:color w:val="000000"/>
          <w:kern w:val="0"/>
          <w:sz w:val="20"/>
          <w:szCs w:val="21"/>
          <w:lang w:bidi="en-US"/>
        </w:rPr>
        <w:t>s</w:t>
      </w:r>
      <w:r>
        <w:rPr>
          <w:rFonts w:ascii="Palatino Linotype" w:eastAsia="Times New Roman" w:hAnsi="Palatino Linotype" w:cs="Times New Roman"/>
          <w:snapToGrid w:val="0"/>
          <w:color w:val="000000"/>
          <w:kern w:val="0"/>
          <w:sz w:val="20"/>
          <w:szCs w:val="21"/>
          <w:lang w:bidi="en-US"/>
        </w:rPr>
        <w:t xml:space="preserve"> is </w:t>
      </w:r>
      <w:r>
        <w:rPr>
          <w:rFonts w:ascii="Palatino Linotype" w:eastAsia="Times New Roman" w:hAnsi="Palatino Linotype" w:cs="Times New Roman"/>
          <w:snapToGrid w:val="0"/>
          <w:color w:val="000000"/>
          <w:kern w:val="0"/>
          <w:sz w:val="20"/>
          <w:szCs w:val="21"/>
          <w:lang w:bidi="en-US"/>
        </w:rPr>
        <w:t xml:space="preserve">the set of target features; c is the set of complementary features; </w:t>
      </w:r>
      <w:proofErr w:type="spellStart"/>
      <w:r>
        <w:rPr>
          <w:rFonts w:ascii="Palatino Linotype" w:eastAsia="Times New Roman" w:hAnsi="Palatino Linotype" w:cs="Times New Roman" w:hint="eastAsia"/>
          <w:snapToGrid w:val="0"/>
          <w:color w:val="000000"/>
          <w:kern w:val="0"/>
          <w:sz w:val="20"/>
          <w:szCs w:val="21"/>
          <w:lang w:bidi="en-US"/>
        </w:rPr>
        <w:t>X</w:t>
      </w:r>
      <w:r>
        <w:rPr>
          <w:rFonts w:ascii="Palatino Linotype" w:eastAsia="Times New Roman" w:hAnsi="Palatino Linotype" w:cs="Times New Roman"/>
          <w:snapToGrid w:val="0"/>
          <w:color w:val="000000"/>
          <w:kern w:val="0"/>
          <w:sz w:val="20"/>
          <w:szCs w:val="21"/>
          <w:lang w:bidi="en-US"/>
        </w:rPr>
        <w:t>s</w:t>
      </w:r>
      <w:proofErr w:type="spellEnd"/>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 xml:space="preserve">and </w:t>
      </w:r>
      <w:proofErr w:type="spellStart"/>
      <w:r>
        <w:rPr>
          <w:rFonts w:ascii="Palatino Linotype" w:eastAsia="Times New Roman" w:hAnsi="Palatino Linotype" w:cs="Times New Roman"/>
          <w:snapToGrid w:val="0"/>
          <w:color w:val="000000"/>
          <w:kern w:val="0"/>
          <w:sz w:val="20"/>
          <w:szCs w:val="21"/>
          <w:lang w:bidi="en-US"/>
        </w:rPr>
        <w:t>Xc</w:t>
      </w:r>
      <w:proofErr w:type="spellEnd"/>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 xml:space="preserve">are the values of the features. The formula signifies the marginal impact on the prediction result given specific values of the features in </w:t>
      </w:r>
      <w:proofErr w:type="spellStart"/>
      <w:r>
        <w:rPr>
          <w:rFonts w:ascii="Palatino Linotype" w:eastAsia="Times New Roman" w:hAnsi="Palatino Linotype" w:cs="Times New Roman" w:hint="eastAsia"/>
          <w:snapToGrid w:val="0"/>
          <w:color w:val="000000"/>
          <w:kern w:val="0"/>
          <w:sz w:val="20"/>
          <w:szCs w:val="21"/>
          <w:lang w:bidi="en-US"/>
        </w:rPr>
        <w:t>X</w:t>
      </w:r>
      <w:r>
        <w:rPr>
          <w:rFonts w:ascii="Palatino Linotype" w:eastAsia="Times New Roman" w:hAnsi="Palatino Linotype" w:cs="Times New Roman"/>
          <w:snapToGrid w:val="0"/>
          <w:color w:val="000000"/>
          <w:kern w:val="0"/>
          <w:sz w:val="20"/>
          <w:szCs w:val="21"/>
          <w:lang w:bidi="en-US"/>
        </w:rPr>
        <w:t>c</w:t>
      </w:r>
      <w:proofErr w:type="spellEnd"/>
      <w:r>
        <w:rPr>
          <w:rFonts w:ascii="Palatino Linotype" w:eastAsia="Times New Roman" w:hAnsi="Palatino Linotype" w:cs="Times New Roman" w:hint="eastAsia"/>
          <w:snapToGrid w:val="0"/>
          <w:color w:val="000000"/>
          <w:kern w:val="0"/>
          <w:sz w:val="20"/>
          <w:szCs w:val="21"/>
          <w:lang w:bidi="en-US"/>
        </w:rPr>
        <w:t>.</w:t>
      </w:r>
    </w:p>
    <w:p w14:paraId="69E7DD6D" w14:textId="77777777" w:rsidR="00624AAA" w:rsidRDefault="00624AAA"/>
    <w:p w14:paraId="7F268A57" w14:textId="77777777" w:rsidR="00624AAA" w:rsidRDefault="00C46345">
      <w:pPr>
        <w:pStyle w:val="MDPI21heading1"/>
        <w:ind w:left="0"/>
        <w:rPr>
          <w:lang w:eastAsia="zh-CN"/>
        </w:rPr>
      </w:pPr>
      <w:r>
        <w:rPr>
          <w:rFonts w:hint="eastAsia"/>
          <w:lang w:eastAsia="zh-CN"/>
        </w:rPr>
        <w:t>4 Data source and variable descri</w:t>
      </w:r>
      <w:r>
        <w:rPr>
          <w:rFonts w:hint="eastAsia"/>
          <w:lang w:eastAsia="zh-CN"/>
        </w:rPr>
        <w:t>ption</w:t>
      </w:r>
    </w:p>
    <w:p w14:paraId="04963374" w14:textId="77777777" w:rsidR="00624AAA" w:rsidRDefault="00C46345">
      <w:pPr>
        <w:pStyle w:val="MDPI22heading2"/>
        <w:spacing w:before="240"/>
        <w:ind w:left="0"/>
      </w:pPr>
      <w:r>
        <w:rPr>
          <w:rFonts w:hint="eastAsia"/>
          <w:lang w:eastAsia="zh-CN"/>
        </w:rPr>
        <w:t>4</w:t>
      </w:r>
      <w:r>
        <w:rPr>
          <w:lang w:eastAsia="zh-CN"/>
        </w:rPr>
        <w:t>.1 Data source</w:t>
      </w:r>
    </w:p>
    <w:p w14:paraId="1140A8C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study uses a sample from publicly listed Chinese A-share companies from 2010 to 2022, a timeframe of heightened globalization and digitalization, as well as increased focus on green development and corporate governance initiatives. Following standard s</w:t>
      </w:r>
      <w:r>
        <w:rPr>
          <w:rFonts w:ascii="Palatino Linotype" w:eastAsia="Times New Roman" w:hAnsi="Palatino Linotype" w:cs="Times New Roman"/>
          <w:snapToGrid w:val="0"/>
          <w:color w:val="000000"/>
          <w:kern w:val="0"/>
          <w:sz w:val="20"/>
          <w:szCs w:val="21"/>
          <w:lang w:bidi="en-US"/>
        </w:rPr>
        <w:t>creening procedures to ensure data quality and limit confounding effects, the original dataset was refined: (1) to remove firms with abnormal trading status; (2) to remove companies in the financial industry; (3) to remove observations missing the key vari</w:t>
      </w:r>
      <w:r>
        <w:rPr>
          <w:rFonts w:ascii="Palatino Linotype" w:eastAsia="Times New Roman" w:hAnsi="Palatino Linotype" w:cs="Times New Roman"/>
          <w:snapToGrid w:val="0"/>
          <w:color w:val="000000"/>
          <w:kern w:val="0"/>
          <w:sz w:val="20"/>
          <w:szCs w:val="21"/>
          <w:lang w:bidi="en-US"/>
        </w:rPr>
        <w:t xml:space="preserve">ables; and (4) to remove outliers on the key variables in our study. </w:t>
      </w:r>
    </w:p>
    <w:p w14:paraId="7896D61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final, unbalanced panel dataset, contains 19,518 firm-year observations, which cover 3,376 unique companies. We obtained the data primarily through the CSMAR and CNRDS databases, sup</w:t>
      </w:r>
      <w:r>
        <w:rPr>
          <w:rFonts w:ascii="Palatino Linotype" w:eastAsia="Times New Roman" w:hAnsi="Palatino Linotype" w:cs="Times New Roman"/>
          <w:snapToGrid w:val="0"/>
          <w:color w:val="000000"/>
          <w:kern w:val="0"/>
          <w:sz w:val="20"/>
          <w:szCs w:val="21"/>
          <w:lang w:bidi="en-US"/>
        </w:rPr>
        <w:t xml:space="preserve">plemented by the companies’ annual reports to check for accuracy. All primary continuous variables were </w:t>
      </w:r>
      <w:proofErr w:type="spellStart"/>
      <w:r>
        <w:rPr>
          <w:rFonts w:ascii="Palatino Linotype" w:eastAsia="Times New Roman" w:hAnsi="Palatino Linotype" w:cs="Times New Roman"/>
          <w:snapToGrid w:val="0"/>
          <w:color w:val="000000"/>
          <w:kern w:val="0"/>
          <w:sz w:val="20"/>
          <w:szCs w:val="21"/>
          <w:lang w:bidi="en-US"/>
        </w:rPr>
        <w:t>Winsorized</w:t>
      </w:r>
      <w:proofErr w:type="spellEnd"/>
      <w:r>
        <w:rPr>
          <w:rFonts w:ascii="Palatino Linotype" w:eastAsia="Times New Roman" w:hAnsi="Palatino Linotype" w:cs="Times New Roman"/>
          <w:snapToGrid w:val="0"/>
          <w:color w:val="000000"/>
          <w:kern w:val="0"/>
          <w:sz w:val="20"/>
          <w:szCs w:val="21"/>
          <w:lang w:bidi="en-US"/>
        </w:rPr>
        <w:t xml:space="preserve"> on the 1st (1%) and 99% percentiles to control for extreme values.</w:t>
      </w:r>
    </w:p>
    <w:p w14:paraId="4DA12D37" w14:textId="77777777" w:rsidR="00624AAA" w:rsidRDefault="00624AAA">
      <w:pPr>
        <w:rPr>
          <w:sz w:val="22"/>
          <w:szCs w:val="28"/>
        </w:rPr>
      </w:pPr>
    </w:p>
    <w:p w14:paraId="3B507B9C" w14:textId="77777777" w:rsidR="00624AAA" w:rsidRDefault="00C46345">
      <w:pPr>
        <w:pStyle w:val="MDPI22heading2"/>
        <w:spacing w:before="240"/>
        <w:ind w:left="0"/>
        <w:rPr>
          <w:lang w:eastAsia="zh-CN"/>
        </w:rPr>
      </w:pPr>
      <w:r>
        <w:rPr>
          <w:rFonts w:hint="eastAsia"/>
          <w:lang w:eastAsia="zh-CN"/>
        </w:rPr>
        <w:t>4</w:t>
      </w:r>
      <w:r>
        <w:rPr>
          <w:lang w:eastAsia="zh-CN"/>
        </w:rPr>
        <w:t>.</w:t>
      </w:r>
      <w:r>
        <w:rPr>
          <w:rFonts w:hint="eastAsia"/>
          <w:lang w:eastAsia="zh-CN"/>
        </w:rPr>
        <w:t>2</w:t>
      </w:r>
      <w:r>
        <w:rPr>
          <w:lang w:eastAsia="zh-CN"/>
        </w:rPr>
        <w:t xml:space="preserve"> Variable Characteristics</w:t>
      </w:r>
    </w:p>
    <w:p w14:paraId="19A2E757" w14:textId="77777777" w:rsidR="00624AAA" w:rsidRDefault="00C46345">
      <w:pPr>
        <w:pStyle w:val="MDPI23heading3"/>
        <w:ind w:left="0"/>
        <w:rPr>
          <w:lang w:eastAsia="zh-CN"/>
        </w:rPr>
      </w:pPr>
      <w:r>
        <w:rPr>
          <w:rFonts w:hint="eastAsia"/>
          <w:lang w:eastAsia="zh-CN"/>
        </w:rPr>
        <w:t>4</w:t>
      </w:r>
      <w:r>
        <w:rPr>
          <w:lang w:eastAsia="zh-CN"/>
        </w:rPr>
        <w:t>.</w:t>
      </w:r>
      <w:r>
        <w:rPr>
          <w:rFonts w:hint="eastAsia"/>
          <w:lang w:eastAsia="zh-CN"/>
        </w:rPr>
        <w:t>2</w:t>
      </w:r>
      <w:r>
        <w:rPr>
          <w:lang w:eastAsia="zh-CN"/>
        </w:rPr>
        <w:t>.1 Dependent Variables</w:t>
      </w:r>
    </w:p>
    <w:p w14:paraId="1991BC0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As a way of charac</w:t>
      </w:r>
      <w:r>
        <w:rPr>
          <w:rFonts w:ascii="Palatino Linotype" w:eastAsia="Times New Roman" w:hAnsi="Palatino Linotype" w:cs="Times New Roman"/>
          <w:snapToGrid w:val="0"/>
          <w:color w:val="000000"/>
          <w:kern w:val="0"/>
          <w:sz w:val="20"/>
          <w:szCs w:val="21"/>
          <w:lang w:bidi="en-US"/>
        </w:rPr>
        <w:t xml:space="preserve">terizing the complexity behind corporate sustainable development, the study uses two dependent variables that are accessed through the CSMAR database. One of the dependent variables is Sustainable Growth Rate (SGR), which describes the growth rate that an </w:t>
      </w:r>
      <w:r>
        <w:rPr>
          <w:rFonts w:ascii="Palatino Linotype" w:eastAsia="Times New Roman" w:hAnsi="Palatino Linotype" w:cs="Times New Roman"/>
          <w:snapToGrid w:val="0"/>
          <w:color w:val="000000"/>
          <w:kern w:val="0"/>
          <w:sz w:val="20"/>
          <w:szCs w:val="21"/>
          <w:lang w:bidi="en-US"/>
        </w:rPr>
        <w:t>organization could sustain without having to increase debt or equity. The other dependent variable is Profit Volatility (PV) which describes the degree to which the organization's earnings are stable and predictable. By taking a dual-indicator approach, it</w:t>
      </w:r>
      <w:r>
        <w:rPr>
          <w:rFonts w:ascii="Palatino Linotype" w:eastAsia="Times New Roman" w:hAnsi="Palatino Linotype" w:cs="Times New Roman"/>
          <w:snapToGrid w:val="0"/>
          <w:color w:val="000000"/>
          <w:kern w:val="0"/>
          <w:sz w:val="20"/>
          <w:szCs w:val="21"/>
          <w:lang w:bidi="en-US"/>
        </w:rPr>
        <w:t xml:space="preserve"> provides a richer understanding of corporate sustainable development useable, as opposed to a short-term pure financial metric alone, as it will provide meaning of the quality of growth and risk adaptive capacity. The integrated metric provides a long-ter</w:t>
      </w:r>
      <w:r>
        <w:rPr>
          <w:rFonts w:ascii="Palatino Linotype" w:eastAsia="Times New Roman" w:hAnsi="Palatino Linotype" w:cs="Times New Roman"/>
          <w:snapToGrid w:val="0"/>
          <w:color w:val="000000"/>
          <w:kern w:val="0"/>
          <w:sz w:val="20"/>
          <w:szCs w:val="21"/>
          <w:lang w:bidi="en-US"/>
        </w:rPr>
        <w:t>m view of growth vs. risk-taking.</w:t>
      </w:r>
    </w:p>
    <w:p w14:paraId="06E69CE7" w14:textId="77777777" w:rsidR="00624AAA" w:rsidRDefault="00C46345">
      <w:pPr>
        <w:pStyle w:val="MDPI23heading3"/>
        <w:ind w:left="0"/>
        <w:rPr>
          <w:lang w:eastAsia="zh-CN"/>
        </w:rPr>
      </w:pPr>
      <w:r>
        <w:rPr>
          <w:rFonts w:hint="eastAsia"/>
          <w:lang w:eastAsia="zh-CN"/>
        </w:rPr>
        <w:t>4</w:t>
      </w:r>
      <w:r>
        <w:rPr>
          <w:lang w:eastAsia="zh-CN"/>
        </w:rPr>
        <w:t>.</w:t>
      </w:r>
      <w:r>
        <w:rPr>
          <w:rFonts w:hint="eastAsia"/>
          <w:lang w:eastAsia="zh-CN"/>
        </w:rPr>
        <w:t>2</w:t>
      </w:r>
      <w:r>
        <w:rPr>
          <w:lang w:eastAsia="zh-CN"/>
        </w:rPr>
        <w:t>.2 Independent Variables</w:t>
      </w:r>
    </w:p>
    <w:p w14:paraId="581E0D4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independent variables are grouped into four key dimensions, the indicators have been selected from literature.</w:t>
      </w:r>
    </w:p>
    <w:p w14:paraId="13F041F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(1)</w:t>
      </w:r>
      <w:r>
        <w:rPr>
          <w:rFonts w:ascii="Palatino Linotype" w:eastAsia="Times New Roman" w:hAnsi="Palatino Linotype" w:cs="Times New Roman"/>
          <w:snapToGrid w:val="0"/>
          <w:color w:val="000000"/>
          <w:kern w:val="0"/>
          <w:sz w:val="20"/>
          <w:szCs w:val="21"/>
          <w:lang w:bidi="en-US"/>
        </w:rPr>
        <w:t xml:space="preserve">Financial Performance (F): To </w:t>
      </w:r>
      <w:proofErr w:type="spellStart"/>
      <w:r>
        <w:rPr>
          <w:rFonts w:ascii="Palatino Linotype" w:eastAsia="Times New Roman" w:hAnsi="Palatino Linotype" w:cs="Times New Roman"/>
          <w:snapToGrid w:val="0"/>
          <w:color w:val="000000"/>
          <w:kern w:val="0"/>
          <w:sz w:val="20"/>
          <w:szCs w:val="21"/>
          <w:lang w:bidi="en-US"/>
        </w:rPr>
        <w:t>analyse</w:t>
      </w:r>
      <w:proofErr w:type="spellEnd"/>
      <w:r>
        <w:rPr>
          <w:rFonts w:ascii="Palatino Linotype" w:eastAsia="Times New Roman" w:hAnsi="Palatino Linotype" w:cs="Times New Roman"/>
          <w:snapToGrid w:val="0"/>
          <w:color w:val="000000"/>
          <w:kern w:val="0"/>
          <w:sz w:val="20"/>
          <w:szCs w:val="21"/>
          <w:lang w:bidi="en-US"/>
        </w:rPr>
        <w:t xml:space="preserve"> financial performance and effectivenes</w:t>
      </w:r>
      <w:r>
        <w:rPr>
          <w:rFonts w:ascii="Palatino Linotype" w:eastAsia="Times New Roman" w:hAnsi="Palatino Linotype" w:cs="Times New Roman"/>
          <w:snapToGrid w:val="0"/>
          <w:color w:val="000000"/>
          <w:kern w:val="0"/>
          <w:sz w:val="20"/>
          <w:szCs w:val="21"/>
          <w:lang w:bidi="en-US"/>
        </w:rPr>
        <w:t>s of a firm, we are using the growth rate of Return on Equity (GROE), the growth rate of Operating Profit (GPF), the growth rate of Net Cash Flow from Operating Activities (GNFO), the Operating Cycle (OT), and the Turnover Ratio of Current Assets (LT)[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w:instrText>
      </w:r>
      <w:r>
        <w:rPr>
          <w:rFonts w:ascii="Palatino Linotype" w:eastAsia="Times New Roman" w:hAnsi="Palatino Linotype" w:cs="Times New Roman"/>
          <w:snapToGrid w:val="0"/>
          <w:color w:val="000000"/>
          <w:kern w:val="0"/>
          <w:sz w:val="20"/>
          <w:szCs w:val="21"/>
          <w:lang w:bidi="en-US"/>
        </w:rPr>
        <w:instrText xml:space="preserve"> _Ref707611853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19</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_Ref707645467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20</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_Ref707662274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21</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All of these variables reflect profitability and efficiency of operations along with effectiveness of management of assets.</w:t>
      </w:r>
    </w:p>
    <w:p w14:paraId="031EC30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(2)</w:t>
      </w:r>
      <w:r>
        <w:rPr>
          <w:rFonts w:ascii="Palatino Linotype" w:eastAsia="Times New Roman" w:hAnsi="Palatino Linotype" w:cs="Times New Roman"/>
          <w:snapToGrid w:val="0"/>
          <w:color w:val="000000"/>
          <w:kern w:val="0"/>
          <w:sz w:val="20"/>
          <w:szCs w:val="21"/>
          <w:lang w:bidi="en-US"/>
        </w:rPr>
        <w:t xml:space="preserve">Green Development (E): The commitment of a firm to </w:t>
      </w:r>
      <w:r>
        <w:rPr>
          <w:rFonts w:ascii="Palatino Linotype" w:eastAsia="Times New Roman" w:hAnsi="Palatino Linotype" w:cs="Times New Roman"/>
          <w:snapToGrid w:val="0"/>
          <w:color w:val="000000"/>
          <w:kern w:val="0"/>
          <w:sz w:val="20"/>
          <w:szCs w:val="21"/>
          <w:lang w:bidi="en-US"/>
        </w:rPr>
        <w:t>environmental sustainability is represented in the use of green investment in total assets (</w:t>
      </w:r>
      <w:proofErr w:type="spellStart"/>
      <w:r>
        <w:rPr>
          <w:rFonts w:ascii="Palatino Linotype" w:eastAsia="Times New Roman" w:hAnsi="Palatino Linotype" w:cs="Times New Roman"/>
          <w:snapToGrid w:val="0"/>
          <w:color w:val="000000"/>
          <w:kern w:val="0"/>
          <w:sz w:val="20"/>
          <w:szCs w:val="21"/>
          <w:lang w:bidi="en-US"/>
        </w:rPr>
        <w:t>greeninvest</w:t>
      </w:r>
      <w:proofErr w:type="spellEnd"/>
      <w:r>
        <w:rPr>
          <w:rFonts w:ascii="Palatino Linotype" w:eastAsia="Times New Roman" w:hAnsi="Palatino Linotype" w:cs="Times New Roman"/>
          <w:snapToGrid w:val="0"/>
          <w:color w:val="000000"/>
          <w:kern w:val="0"/>
          <w:sz w:val="20"/>
          <w:szCs w:val="21"/>
          <w:lang w:bidi="en-US"/>
        </w:rPr>
        <w:t>), green management innovation (</w:t>
      </w:r>
      <w:proofErr w:type="spellStart"/>
      <w:r>
        <w:rPr>
          <w:rFonts w:ascii="Palatino Linotype" w:eastAsia="Times New Roman" w:hAnsi="Palatino Linotype" w:cs="Times New Roman"/>
          <w:snapToGrid w:val="0"/>
          <w:color w:val="000000"/>
          <w:kern w:val="0"/>
          <w:sz w:val="20"/>
          <w:szCs w:val="21"/>
          <w:lang w:bidi="en-US"/>
        </w:rPr>
        <w:t>greenmanagement</w:t>
      </w:r>
      <w:proofErr w:type="spellEnd"/>
      <w:r>
        <w:rPr>
          <w:rFonts w:ascii="Palatino Linotype" w:eastAsia="Times New Roman" w:hAnsi="Palatino Linotype" w:cs="Times New Roman"/>
          <w:snapToGrid w:val="0"/>
          <w:color w:val="000000"/>
          <w:kern w:val="0"/>
          <w:sz w:val="20"/>
          <w:szCs w:val="21"/>
          <w:lang w:bidi="en-US"/>
        </w:rPr>
        <w:t>), green business model transition (</w:t>
      </w:r>
      <w:proofErr w:type="spellStart"/>
      <w:r>
        <w:rPr>
          <w:rFonts w:ascii="Palatino Linotype" w:eastAsia="Times New Roman" w:hAnsi="Palatino Linotype" w:cs="Times New Roman"/>
          <w:snapToGrid w:val="0"/>
          <w:color w:val="000000"/>
          <w:kern w:val="0"/>
          <w:sz w:val="20"/>
          <w:szCs w:val="21"/>
          <w:lang w:bidi="en-US"/>
        </w:rPr>
        <w:t>greentran</w:t>
      </w:r>
      <w:proofErr w:type="spellEnd"/>
      <w:r>
        <w:rPr>
          <w:rFonts w:ascii="Palatino Linotype" w:eastAsia="Times New Roman" w:hAnsi="Palatino Linotype" w:cs="Times New Roman"/>
          <w:snapToGrid w:val="0"/>
          <w:color w:val="000000"/>
          <w:kern w:val="0"/>
          <w:sz w:val="20"/>
          <w:szCs w:val="21"/>
          <w:lang w:bidi="en-US"/>
        </w:rPr>
        <w:t>), and the environmental score from ESG ratings (</w:t>
      </w:r>
      <w:proofErr w:type="spellStart"/>
      <w:r>
        <w:rPr>
          <w:rFonts w:ascii="Palatino Linotype" w:eastAsia="Times New Roman" w:hAnsi="Palatino Linotype" w:cs="Times New Roman"/>
          <w:snapToGrid w:val="0"/>
          <w:color w:val="000000"/>
          <w:kern w:val="0"/>
          <w:sz w:val="20"/>
          <w:szCs w:val="21"/>
          <w:lang w:bidi="en-US"/>
        </w:rPr>
        <w:t>esge</w:t>
      </w:r>
      <w:proofErr w:type="spellEnd"/>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w:instrText>
      </w:r>
      <w:r>
        <w:rPr>
          <w:rFonts w:ascii="Palatino Linotype" w:eastAsia="Times New Roman" w:hAnsi="Palatino Linotype" w:cs="Times New Roman" w:hint="eastAsia"/>
          <w:snapToGrid w:val="0"/>
          <w:color w:val="000000"/>
          <w:kern w:val="0"/>
          <w:sz w:val="20"/>
          <w:szCs w:val="21"/>
          <w:lang w:bidi="en-US"/>
        </w:rPr>
        <w:instrText xml:space="preserve">_Ref708065642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22</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_Ref708082449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23</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fldChar w:fldCharType="begin"/>
      </w:r>
      <w:r>
        <w:rPr>
          <w:rFonts w:ascii="Palatino Linotype" w:eastAsia="Times New Roman" w:hAnsi="Palatino Linotype" w:cs="Times New Roman" w:hint="eastAsia"/>
          <w:snapToGrid w:val="0"/>
          <w:color w:val="000000"/>
          <w:kern w:val="0"/>
          <w:sz w:val="20"/>
          <w:szCs w:val="21"/>
          <w:lang w:bidi="en-US"/>
        </w:rPr>
        <w:instrText xml:space="preserve"> REF _Ref708116063 \r \h </w:instrText>
      </w:r>
      <w:r>
        <w:rPr>
          <w:rFonts w:ascii="Palatino Linotype" w:eastAsia="Times New Roman" w:hAnsi="Palatino Linotype" w:cs="Times New Roman" w:hint="eastAsia"/>
          <w:snapToGrid w:val="0"/>
          <w:color w:val="000000"/>
          <w:kern w:val="0"/>
          <w:sz w:val="20"/>
          <w:szCs w:val="21"/>
          <w:lang w:bidi="en-US"/>
        </w:rPr>
      </w:r>
      <w:r>
        <w:rPr>
          <w:rFonts w:ascii="Palatino Linotype" w:eastAsia="Times New Roman" w:hAnsi="Palatino Linotype" w:cs="Times New Roman" w:hint="eastAsia"/>
          <w:snapToGrid w:val="0"/>
          <w:color w:val="000000"/>
          <w:kern w:val="0"/>
          <w:sz w:val="20"/>
          <w:szCs w:val="21"/>
          <w:lang w:bidi="en-US"/>
        </w:rPr>
        <w:fldChar w:fldCharType="separate"/>
      </w:r>
      <w:r>
        <w:rPr>
          <w:rFonts w:ascii="Palatino Linotype" w:eastAsia="Times New Roman" w:hAnsi="Palatino Linotype" w:cs="Times New Roman" w:hint="eastAsia"/>
          <w:snapToGrid w:val="0"/>
          <w:color w:val="000000"/>
          <w:kern w:val="0"/>
          <w:sz w:val="20"/>
          <w:szCs w:val="21"/>
          <w:lang w:bidi="en-US"/>
        </w:rPr>
        <w:t>24</w:t>
      </w:r>
      <w:r>
        <w:rPr>
          <w:rFonts w:ascii="Palatino Linotype" w:eastAsia="Times New Roman" w:hAnsi="Palatino Linotype" w:cs="Times New Roman" w:hint="eastAsia"/>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The term "green" includes direct investments, management systems, and overall environmental p</w:t>
      </w:r>
      <w:r>
        <w:rPr>
          <w:rFonts w:ascii="Palatino Linotype" w:eastAsia="Times New Roman" w:hAnsi="Palatino Linotype" w:cs="Times New Roman"/>
          <w:snapToGrid w:val="0"/>
          <w:color w:val="000000"/>
          <w:kern w:val="0"/>
          <w:sz w:val="20"/>
          <w:szCs w:val="21"/>
          <w:lang w:bidi="en-US"/>
        </w:rPr>
        <w:t>erformance.</w:t>
      </w:r>
    </w:p>
    <w:p w14:paraId="4E2B818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(3)</w:t>
      </w:r>
      <w:r>
        <w:rPr>
          <w:rFonts w:ascii="Palatino Linotype" w:eastAsia="Times New Roman" w:hAnsi="Palatino Linotype" w:cs="Times New Roman"/>
          <w:snapToGrid w:val="0"/>
          <w:color w:val="000000"/>
          <w:kern w:val="0"/>
          <w:sz w:val="20"/>
          <w:szCs w:val="21"/>
          <w:lang w:bidi="en-US"/>
        </w:rPr>
        <w:t>R&amp;D Investment (R): Innovation capacity will be assessed in this study by using the ratio of Research and Development expenditure to operating income (RDP), the presence of R&amp;D alliances (RDC), and quality of innovation as defined by the bre</w:t>
      </w:r>
      <w:r>
        <w:rPr>
          <w:rFonts w:ascii="Palatino Linotype" w:eastAsia="Times New Roman" w:hAnsi="Palatino Linotype" w:cs="Times New Roman"/>
          <w:snapToGrid w:val="0"/>
          <w:color w:val="000000"/>
          <w:kern w:val="0"/>
          <w:sz w:val="20"/>
          <w:szCs w:val="21"/>
          <w:lang w:bidi="en-US"/>
        </w:rPr>
        <w:t>adth of knowledge in patents (RDQ)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_Ref708502624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25</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These three metrics encapsulate a firm's innovation processes intensity, co-creation, and output quality.</w:t>
      </w:r>
    </w:p>
    <w:p w14:paraId="76162B6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(4)</w:t>
      </w:r>
      <w:r>
        <w:rPr>
          <w:rFonts w:ascii="Palatino Linotype" w:eastAsia="Times New Roman" w:hAnsi="Palatino Linotype" w:cs="Times New Roman"/>
          <w:snapToGrid w:val="0"/>
          <w:color w:val="000000"/>
          <w:kern w:val="0"/>
          <w:sz w:val="20"/>
          <w:szCs w:val="21"/>
          <w:lang w:bidi="en-US"/>
        </w:rPr>
        <w:t xml:space="preserve">Supply </w:t>
      </w:r>
      <w:r>
        <w:rPr>
          <w:rFonts w:ascii="Palatino Linotype" w:eastAsia="Times New Roman" w:hAnsi="Palatino Linotype" w:cs="Times New Roman"/>
          <w:snapToGrid w:val="0"/>
          <w:color w:val="000000"/>
          <w:kern w:val="0"/>
          <w:sz w:val="20"/>
          <w:szCs w:val="21"/>
          <w:lang w:bidi="en-US"/>
        </w:rPr>
        <w:t>Chain Management (S): The parameters of the supply chain will be measured by supply chain concentration (CENSU), strategic cooperation alliances (SUC), the turnover rate of accounts payable (APT), and the turnover rate of accounts receivable (ART)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w:instrText>
      </w:r>
      <w:r>
        <w:rPr>
          <w:rFonts w:ascii="Palatino Linotype" w:eastAsia="Times New Roman" w:hAnsi="Palatino Linotype" w:cs="Times New Roman"/>
          <w:snapToGrid w:val="0"/>
          <w:color w:val="000000"/>
          <w:kern w:val="0"/>
          <w:sz w:val="20"/>
          <w:szCs w:val="21"/>
          <w:lang w:bidi="en-US"/>
        </w:rPr>
        <w:instrText xml:space="preserve">ef708737922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26</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_Ref708771536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27</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_Ref708788343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28</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xml:space="preserve">]. These factors can provide information on the supply chain's structure, if third-party partnerships exist, and the efficiency of working capital. </w:t>
      </w:r>
    </w:p>
    <w:p w14:paraId="4B8B36AD" w14:textId="77777777" w:rsidR="00624AAA" w:rsidRDefault="00C46345">
      <w:pPr>
        <w:pStyle w:val="MDPI23heading3"/>
        <w:ind w:left="0"/>
        <w:rPr>
          <w:lang w:eastAsia="zh-CN"/>
        </w:rPr>
      </w:pPr>
      <w:r>
        <w:rPr>
          <w:rFonts w:hint="eastAsia"/>
          <w:lang w:eastAsia="zh-CN"/>
        </w:rPr>
        <w:t>4</w:t>
      </w:r>
      <w:r>
        <w:rPr>
          <w:lang w:eastAsia="zh-CN"/>
        </w:rPr>
        <w:t>.</w:t>
      </w:r>
      <w:r>
        <w:rPr>
          <w:rFonts w:hint="eastAsia"/>
          <w:lang w:eastAsia="zh-CN"/>
        </w:rPr>
        <w:t>2</w:t>
      </w:r>
      <w:r>
        <w:rPr>
          <w:lang w:eastAsia="zh-CN"/>
        </w:rPr>
        <w:t>.3 Control Variables</w:t>
      </w:r>
    </w:p>
    <w:p w14:paraId="36BD703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In accordance with existing literature, the models </w:t>
      </w:r>
      <w:r>
        <w:rPr>
          <w:rFonts w:ascii="Palatino Linotype" w:eastAsia="Times New Roman" w:hAnsi="Palatino Linotype" w:cs="Times New Roman"/>
          <w:snapToGrid w:val="0"/>
          <w:color w:val="000000"/>
          <w:kern w:val="0"/>
          <w:sz w:val="20"/>
          <w:szCs w:val="21"/>
          <w:lang w:bidi="en-US"/>
        </w:rPr>
        <w:t>control a set of core firm attributes: state ownership (SOE), firm size (Size), financial leverage (Lev), board size (Board), independent director ratio (</w:t>
      </w:r>
      <w:proofErr w:type="spellStart"/>
      <w:r>
        <w:rPr>
          <w:rFonts w:ascii="Palatino Linotype" w:eastAsia="Times New Roman" w:hAnsi="Palatino Linotype" w:cs="Times New Roman"/>
          <w:snapToGrid w:val="0"/>
          <w:color w:val="000000"/>
          <w:kern w:val="0"/>
          <w:sz w:val="20"/>
          <w:szCs w:val="21"/>
          <w:lang w:bidi="en-US"/>
        </w:rPr>
        <w:t>Indep</w:t>
      </w:r>
      <w:proofErr w:type="spellEnd"/>
      <w:r>
        <w:rPr>
          <w:rFonts w:ascii="Palatino Linotype" w:eastAsia="Times New Roman" w:hAnsi="Palatino Linotype" w:cs="Times New Roman"/>
          <w:snapToGrid w:val="0"/>
          <w:color w:val="000000"/>
          <w:kern w:val="0"/>
          <w:sz w:val="20"/>
          <w:szCs w:val="21"/>
          <w:lang w:bidi="en-US"/>
        </w:rPr>
        <w:t>), CEO-chairman duality (Dual), top management compensation (TMTPay1), management ownership (</w:t>
      </w:r>
      <w:proofErr w:type="spellStart"/>
      <w:r>
        <w:rPr>
          <w:rFonts w:ascii="Palatino Linotype" w:eastAsia="Times New Roman" w:hAnsi="Palatino Linotype" w:cs="Times New Roman"/>
          <w:snapToGrid w:val="0"/>
          <w:color w:val="000000"/>
          <w:kern w:val="0"/>
          <w:sz w:val="20"/>
          <w:szCs w:val="21"/>
          <w:lang w:bidi="en-US"/>
        </w:rPr>
        <w:t>Msha</w:t>
      </w:r>
      <w:r>
        <w:rPr>
          <w:rFonts w:ascii="Palatino Linotype" w:eastAsia="Times New Roman" w:hAnsi="Palatino Linotype" w:cs="Times New Roman"/>
          <w:snapToGrid w:val="0"/>
          <w:color w:val="000000"/>
          <w:kern w:val="0"/>
          <w:sz w:val="20"/>
          <w:szCs w:val="21"/>
          <w:lang w:bidi="en-US"/>
        </w:rPr>
        <w:t>re</w:t>
      </w:r>
      <w:proofErr w:type="spellEnd"/>
      <w:r>
        <w:rPr>
          <w:rFonts w:ascii="Palatino Linotype" w:eastAsia="Times New Roman" w:hAnsi="Palatino Linotype" w:cs="Times New Roman"/>
          <w:snapToGrid w:val="0"/>
          <w:color w:val="000000"/>
          <w:kern w:val="0"/>
          <w:sz w:val="20"/>
          <w:szCs w:val="21"/>
          <w:lang w:bidi="en-US"/>
        </w:rPr>
        <w:t>), major shareholder expropriation (Occupy), and firm age (</w:t>
      </w:r>
      <w:proofErr w:type="spellStart"/>
      <w:r>
        <w:rPr>
          <w:rFonts w:ascii="Palatino Linotype" w:eastAsia="Times New Roman" w:hAnsi="Palatino Linotype" w:cs="Times New Roman"/>
          <w:snapToGrid w:val="0"/>
          <w:color w:val="000000"/>
          <w:kern w:val="0"/>
          <w:sz w:val="20"/>
          <w:szCs w:val="21"/>
          <w:lang w:bidi="en-US"/>
        </w:rPr>
        <w:t>FirmAge</w:t>
      </w:r>
      <w:proofErr w:type="spellEnd"/>
      <w:r>
        <w:rPr>
          <w:rFonts w:ascii="Palatino Linotype" w:eastAsia="Times New Roman" w:hAnsi="Palatino Linotype" w:cs="Times New Roman"/>
          <w:snapToGrid w:val="0"/>
          <w:color w:val="000000"/>
          <w:kern w:val="0"/>
          <w:sz w:val="20"/>
          <w:szCs w:val="21"/>
          <w:lang w:bidi="en-US"/>
        </w:rPr>
        <w:t>). These account for differences in ownership structure, organizational scale, financial risk, governance structure, and life cycle stage.</w:t>
      </w:r>
    </w:p>
    <w:p w14:paraId="1C8731B2" w14:textId="77777777" w:rsidR="00624AAA" w:rsidRDefault="00C46345">
      <w:pPr>
        <w:pStyle w:val="MDPI22heading2"/>
        <w:spacing w:before="240"/>
        <w:ind w:left="0"/>
        <w:rPr>
          <w:lang w:eastAsia="zh-CN"/>
        </w:rPr>
      </w:pPr>
      <w:r>
        <w:rPr>
          <w:rFonts w:hint="eastAsia"/>
          <w:lang w:eastAsia="zh-CN"/>
        </w:rPr>
        <w:t>4</w:t>
      </w:r>
      <w:r>
        <w:rPr>
          <w:lang w:eastAsia="zh-CN"/>
        </w:rPr>
        <w:t>.</w:t>
      </w:r>
      <w:r>
        <w:rPr>
          <w:rFonts w:hint="eastAsia"/>
          <w:lang w:eastAsia="zh-CN"/>
        </w:rPr>
        <w:t>3</w:t>
      </w:r>
      <w:r>
        <w:rPr>
          <w:lang w:eastAsia="zh-CN"/>
        </w:rPr>
        <w:t>. Sample Division and Model Training</w:t>
      </w:r>
    </w:p>
    <w:p w14:paraId="098A3E3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To honor </w:t>
      </w:r>
      <w:r>
        <w:rPr>
          <w:rFonts w:ascii="Palatino Linotype" w:eastAsia="Times New Roman" w:hAnsi="Palatino Linotype" w:cs="Times New Roman"/>
          <w:snapToGrid w:val="0"/>
          <w:color w:val="000000"/>
          <w:kern w:val="0"/>
          <w:sz w:val="20"/>
          <w:szCs w:val="21"/>
          <w:lang w:bidi="en-US"/>
        </w:rPr>
        <w:t xml:space="preserve">the time-series nature of our data, we do not use conventional random-split </w:t>
      </w:r>
      <w:r>
        <w:rPr>
          <w:rFonts w:ascii="Palatino Linotype" w:eastAsia="Times New Roman" w:hAnsi="Palatino Linotype" w:cs="Times New Roman"/>
          <w:snapToGrid w:val="0"/>
          <w:color w:val="000000"/>
          <w:kern w:val="0"/>
          <w:sz w:val="20"/>
          <w:szCs w:val="21"/>
          <w:lang w:bidi="en-US"/>
        </w:rPr>
        <w:lastRenderedPageBreak/>
        <w:t xml:space="preserve">validation since this can allow future information to be used to predict the past (data leakage). Instead we choose to use a moving horizon validation method, based on the work of </w:t>
      </w:r>
      <w:r>
        <w:rPr>
          <w:rFonts w:ascii="Palatino Linotype" w:eastAsia="Times New Roman" w:hAnsi="Palatino Linotype" w:cs="Times New Roman"/>
          <w:snapToGrid w:val="0"/>
          <w:color w:val="000000"/>
          <w:kern w:val="0"/>
          <w:sz w:val="20"/>
          <w:szCs w:val="21"/>
          <w:lang w:bidi="en-US"/>
        </w:rPr>
        <w:t>CHEN et al. (</w:t>
      </w:r>
      <w:proofErr w:type="gramStart"/>
      <w:r>
        <w:rPr>
          <w:rFonts w:ascii="Palatino Linotype" w:eastAsia="Times New Roman" w:hAnsi="Palatino Linotype" w:cs="Times New Roman"/>
          <w:snapToGrid w:val="0"/>
          <w:color w:val="000000"/>
          <w:kern w:val="0"/>
          <w:sz w:val="20"/>
          <w:szCs w:val="21"/>
          <w:lang w:bidi="en-US"/>
        </w:rPr>
        <w:t>2022)[</w:t>
      </w:r>
      <w:proofErr w:type="gramEnd"/>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_Ref709208518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29</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which is not only appropriate for time-series analysis, but can also be seen as reliable and logically-based validation. Each test year (t)</w:t>
      </w:r>
      <w:r>
        <w:rPr>
          <w:rFonts w:ascii="Palatino Linotype" w:eastAsia="Times New Roman" w:hAnsi="Palatino Linotype" w:cs="Times New Roman"/>
          <w:snapToGrid w:val="0"/>
          <w:color w:val="000000"/>
          <w:kern w:val="0"/>
          <w:sz w:val="20"/>
          <w:szCs w:val="21"/>
          <w:lang w:bidi="en-US"/>
        </w:rPr>
        <w:t xml:space="preserve"> from 2010-2022 has a corresponding validation year (t-1) and training years (t-2, t-3).  </w:t>
      </w:r>
    </w:p>
    <w:p w14:paraId="1781F24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To strengthen hyperparameter tuning, we will implement a cross-validation approach within the moving horizon time-series validation approach described above. For eac</w:t>
      </w:r>
      <w:r>
        <w:rPr>
          <w:rFonts w:ascii="Palatino Linotype" w:eastAsia="Times New Roman" w:hAnsi="Palatino Linotype" w:cs="Times New Roman"/>
          <w:snapToGrid w:val="0"/>
          <w:color w:val="000000"/>
          <w:kern w:val="0"/>
          <w:sz w:val="20"/>
          <w:szCs w:val="21"/>
          <w:lang w:bidi="en-US"/>
        </w:rPr>
        <w:t>h fold of the validation data, we will create five folds. Then, we will train the model on the training data and 4 of the folds of validation data (not the fifth fold), and will evaluate on the fold where the model fit was not held to the training data. We</w:t>
      </w:r>
      <w:r>
        <w:rPr>
          <w:rFonts w:ascii="Palatino Linotype" w:eastAsia="Times New Roman" w:hAnsi="Palatino Linotype" w:cs="Times New Roman"/>
          <w:snapToGrid w:val="0"/>
          <w:color w:val="000000"/>
          <w:kern w:val="0"/>
          <w:sz w:val="20"/>
          <w:szCs w:val="21"/>
          <w:lang w:bidi="en-US"/>
        </w:rPr>
        <w:t xml:space="preserve"> can repeat the approach we just described to identify the best parameters for each of our models. Once we have identified the best parameter settings for each of our classifiers, our final, fitted models will be trained using the test data plus all of the</w:t>
      </w:r>
      <w:r>
        <w:rPr>
          <w:rFonts w:ascii="Palatino Linotype" w:eastAsia="Times New Roman" w:hAnsi="Palatino Linotype" w:cs="Times New Roman"/>
          <w:snapToGrid w:val="0"/>
          <w:color w:val="000000"/>
          <w:kern w:val="0"/>
          <w:sz w:val="20"/>
          <w:szCs w:val="21"/>
          <w:lang w:bidi="en-US"/>
        </w:rPr>
        <w:t xml:space="preserve"> validation data (the 5ths will be held-out), resulting in a suitable future prediction model. We have designed a rigorous, forward-looking process to eliminate look-ahead bias for evaluation of the predictive performance of particular models. A summary of</w:t>
      </w:r>
      <w:r>
        <w:rPr>
          <w:rFonts w:ascii="Palatino Linotype" w:eastAsia="Times New Roman" w:hAnsi="Palatino Linotype" w:cs="Times New Roman"/>
          <w:snapToGrid w:val="0"/>
          <w:color w:val="000000"/>
          <w:kern w:val="0"/>
          <w:sz w:val="20"/>
          <w:szCs w:val="21"/>
          <w:lang w:bidi="en-US"/>
        </w:rPr>
        <w:t xml:space="preserve"> the above process is illustrated at a high-level in Figure 1.</w:t>
      </w:r>
    </w:p>
    <w:p w14:paraId="6F37E135" w14:textId="77777777" w:rsidR="00624AAA" w:rsidRDefault="00624AAA">
      <w:pPr>
        <w:spacing w:line="360" w:lineRule="auto"/>
        <w:rPr>
          <w:rFonts w:ascii="Times New Roman Regular" w:hAnsi="Times New Roman Regular" w:cs="Times New Roman Regular"/>
          <w:color w:val="000000" w:themeColor="text1"/>
          <w:sz w:val="24"/>
        </w:rPr>
      </w:pPr>
    </w:p>
    <w:p w14:paraId="4DC7AB89" w14:textId="77777777" w:rsidR="00624AAA" w:rsidRDefault="00C46345">
      <w:r>
        <w:rPr>
          <w:noProof/>
        </w:rPr>
        <w:drawing>
          <wp:inline distT="0" distB="0" distL="114300" distR="114300" wp14:anchorId="38CC97FE" wp14:editId="1BEFBE5F">
            <wp:extent cx="5273675" cy="2599690"/>
            <wp:effectExtent l="0" t="0" r="9525" b="1651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6"/>
                    <a:stretch>
                      <a:fillRect/>
                    </a:stretch>
                  </pic:blipFill>
                  <pic:spPr>
                    <a:xfrm>
                      <a:off x="0" y="0"/>
                      <a:ext cx="5273675" cy="2599690"/>
                    </a:xfrm>
                    <a:prstGeom prst="rect">
                      <a:avLst/>
                    </a:prstGeom>
                    <a:noFill/>
                    <a:ln>
                      <a:noFill/>
                    </a:ln>
                  </pic:spPr>
                </pic:pic>
              </a:graphicData>
            </a:graphic>
          </wp:inline>
        </w:drawing>
      </w:r>
    </w:p>
    <w:p w14:paraId="000C7539" w14:textId="77777777" w:rsidR="00624AAA" w:rsidRDefault="00C46345">
      <w:pPr>
        <w:spacing w:line="360" w:lineRule="auto"/>
        <w:jc w:val="left"/>
        <w:rPr>
          <w:rFonts w:ascii="Times New Roman Regular" w:hAnsi="Times New Roman Regular" w:cs="Times New Roman Regular"/>
          <w:color w:val="000000" w:themeColor="text1"/>
          <w:sz w:val="24"/>
        </w:rPr>
      </w:pPr>
      <w:r>
        <w:rPr>
          <w:b/>
        </w:rPr>
        <w:t xml:space="preserve">Figure 1. </w:t>
      </w:r>
      <w:r>
        <w:rPr>
          <w:rFonts w:ascii="Times New Roman Regular" w:hAnsi="Times New Roman Regular" w:cs="Times New Roman Regular"/>
          <w:color w:val="000000" w:themeColor="text1"/>
          <w:sz w:val="24"/>
        </w:rPr>
        <w:t xml:space="preserve"> </w:t>
      </w:r>
      <w:r>
        <w:rPr>
          <w:rFonts w:ascii="Palatino Linotype" w:eastAsia="Times New Roman" w:hAnsi="Palatino Linotype" w:cs="Times New Roman"/>
          <w:color w:val="000000"/>
          <w:kern w:val="0"/>
          <w:sz w:val="18"/>
          <w:szCs w:val="20"/>
          <w:lang w:bidi="en-US"/>
        </w:rPr>
        <w:t>Sample division and model training</w:t>
      </w:r>
    </w:p>
    <w:p w14:paraId="78F9C600" w14:textId="77777777" w:rsidR="00624AAA" w:rsidRDefault="00624AAA"/>
    <w:p w14:paraId="212DD3FB" w14:textId="77777777" w:rsidR="00624AAA" w:rsidRDefault="00C46345">
      <w:pPr>
        <w:pStyle w:val="MDPI21heading1"/>
        <w:ind w:left="0"/>
        <w:rPr>
          <w:lang w:eastAsia="zh-CN"/>
        </w:rPr>
      </w:pPr>
      <w:r>
        <w:rPr>
          <w:rFonts w:hint="eastAsia"/>
          <w:lang w:eastAsia="zh-CN"/>
        </w:rPr>
        <w:t>5 Analysis of empirical results</w:t>
      </w:r>
    </w:p>
    <w:p w14:paraId="762A0D89" w14:textId="77777777" w:rsidR="00624AAA" w:rsidRDefault="00C46345">
      <w:pPr>
        <w:pStyle w:val="MDPI22heading2"/>
        <w:spacing w:before="240"/>
        <w:ind w:left="0"/>
        <w:rPr>
          <w:lang w:eastAsia="zh-CN"/>
        </w:rPr>
      </w:pPr>
      <w:r>
        <w:rPr>
          <w:rFonts w:hint="eastAsia"/>
          <w:lang w:eastAsia="zh-CN"/>
        </w:rPr>
        <w:t>5.1 Descriptive Statistics</w:t>
      </w:r>
    </w:p>
    <w:p w14:paraId="46563A4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The statistical outcomes indicate that the mean, median, and standard </w:t>
      </w:r>
      <w:r>
        <w:rPr>
          <w:rFonts w:ascii="Palatino Linotype" w:eastAsia="Times New Roman" w:hAnsi="Palatino Linotype" w:cs="Times New Roman"/>
          <w:snapToGrid w:val="0"/>
          <w:color w:val="000000"/>
          <w:kern w:val="0"/>
          <w:sz w:val="20"/>
          <w:szCs w:val="21"/>
          <w:lang w:bidi="en-US"/>
        </w:rPr>
        <w:t>deviation of the Sustainable Growth Rate (SGR) for companies are 0.047, 0.050, and 0.107, respectively. For Profit Volatility (PV), the mean, median, and standard deviation are 0.032, 0.018, and 0.044, respectively. The average proportion of green investme</w:t>
      </w:r>
      <w:r>
        <w:rPr>
          <w:rFonts w:ascii="Palatino Linotype" w:eastAsia="Times New Roman" w:hAnsi="Palatino Linotype" w:cs="Times New Roman"/>
          <w:snapToGrid w:val="0"/>
          <w:color w:val="000000"/>
          <w:kern w:val="0"/>
          <w:sz w:val="20"/>
          <w:szCs w:val="21"/>
          <w:lang w:bidi="en-US"/>
        </w:rPr>
        <w:t>nts, along with their median and standard deviation, are 0.178, 0.147, and 0.132, respectively, suggesting a relatively small variance in the proportion of green investments among companies. The growth rate of Return on Equity (GROE) exhibits a significant</w:t>
      </w:r>
      <w:r>
        <w:rPr>
          <w:rFonts w:ascii="Palatino Linotype" w:eastAsia="Times New Roman" w:hAnsi="Palatino Linotype" w:cs="Times New Roman"/>
          <w:snapToGrid w:val="0"/>
          <w:color w:val="000000"/>
          <w:kern w:val="0"/>
          <w:sz w:val="20"/>
          <w:szCs w:val="21"/>
          <w:lang w:bidi="en-US"/>
        </w:rPr>
        <w:t xml:space="preserve"> disparity across different enterprises, with a mean, median, and standard deviation of -0.650, 0.000, and 9.516, respectively, indicating a wide distribution of this financial metric. The ratio of R&amp;D expenditure to operating income (RDP) </w:t>
      </w:r>
      <w:r>
        <w:rPr>
          <w:rFonts w:ascii="Palatino Linotype" w:eastAsia="Times New Roman" w:hAnsi="Palatino Linotype" w:cs="Times New Roman"/>
          <w:snapToGrid w:val="0"/>
          <w:color w:val="000000"/>
          <w:kern w:val="0"/>
          <w:sz w:val="20"/>
          <w:szCs w:val="21"/>
          <w:lang w:bidi="en-US"/>
        </w:rPr>
        <w:lastRenderedPageBreak/>
        <w:t>has a mean, medi</w:t>
      </w:r>
      <w:r>
        <w:rPr>
          <w:rFonts w:ascii="Palatino Linotype" w:eastAsia="Times New Roman" w:hAnsi="Palatino Linotype" w:cs="Times New Roman"/>
          <w:snapToGrid w:val="0"/>
          <w:color w:val="000000"/>
          <w:kern w:val="0"/>
          <w:sz w:val="20"/>
          <w:szCs w:val="21"/>
          <w:lang w:bidi="en-US"/>
        </w:rPr>
        <w:t>an, and standard deviation of 0.047, 0.036, and 0.047, respectively. Supply chain concentration (CENSU) demonstrates considerable variation, with a mean, median, and standard deviation of 29.059, 26.740, and 15.759, respectively, yet remains within a reaso</w:t>
      </w:r>
      <w:r>
        <w:rPr>
          <w:rFonts w:ascii="Palatino Linotype" w:eastAsia="Times New Roman" w:hAnsi="Palatino Linotype" w:cs="Times New Roman"/>
          <w:snapToGrid w:val="0"/>
          <w:color w:val="000000"/>
          <w:kern w:val="0"/>
          <w:sz w:val="20"/>
          <w:szCs w:val="21"/>
          <w:lang w:bidi="en-US"/>
        </w:rPr>
        <w:t>nable distribution range.</w:t>
      </w:r>
    </w:p>
    <w:p w14:paraId="75078DC9" w14:textId="77777777" w:rsidR="00624AAA" w:rsidRDefault="00624AAA">
      <w:pPr>
        <w:spacing w:line="360" w:lineRule="auto"/>
        <w:rPr>
          <w:rFonts w:ascii="Times New Roman Regular" w:hAnsi="Times New Roman Regular" w:cs="Times New Roman Regular"/>
          <w:color w:val="000000" w:themeColor="text1"/>
          <w:sz w:val="24"/>
        </w:rPr>
      </w:pPr>
    </w:p>
    <w:p w14:paraId="3DD754DA" w14:textId="77777777" w:rsidR="00624AAA" w:rsidRDefault="00C46345">
      <w:pPr>
        <w:pStyle w:val="MDPI41tablecaption"/>
        <w:ind w:left="0"/>
        <w:rPr>
          <w:rFonts w:ascii="Times New Roman" w:hAnsi="Times New Roman" w:cs="Times New Roman"/>
          <w:color w:val="auto"/>
          <w:sz w:val="28"/>
          <w:szCs w:val="28"/>
          <w:lang w:eastAsia="zh-CN"/>
        </w:rPr>
      </w:pPr>
      <w:r>
        <w:rPr>
          <w:b/>
          <w:sz w:val="20"/>
          <w:szCs w:val="24"/>
          <w:lang w:eastAsia="zh-CN"/>
        </w:rPr>
        <w:t xml:space="preserve">Table 3. </w:t>
      </w:r>
      <w:r>
        <w:rPr>
          <w:bCs/>
          <w:sz w:val="20"/>
          <w:szCs w:val="24"/>
          <w:lang w:eastAsia="zh-CN"/>
        </w:rPr>
        <w:t>Descriptive statistical results</w:t>
      </w:r>
    </w:p>
    <w:tbl>
      <w:tblPr>
        <w:tblW w:w="9192" w:type="dxa"/>
        <w:tblLayout w:type="fixed"/>
        <w:tblLook w:val="04A0" w:firstRow="1" w:lastRow="0" w:firstColumn="1" w:lastColumn="0" w:noHBand="0" w:noVBand="1"/>
      </w:tblPr>
      <w:tblGrid>
        <w:gridCol w:w="1416"/>
        <w:gridCol w:w="1296"/>
        <w:gridCol w:w="1296"/>
        <w:gridCol w:w="1296"/>
        <w:gridCol w:w="1296"/>
        <w:gridCol w:w="1296"/>
        <w:gridCol w:w="1296"/>
      </w:tblGrid>
      <w:tr w:rsidR="00624AAA" w14:paraId="6F7274C9" w14:textId="77777777">
        <w:tc>
          <w:tcPr>
            <w:tcW w:w="1416" w:type="dxa"/>
            <w:tcBorders>
              <w:top w:val="single" w:sz="12" w:space="0" w:color="000000"/>
              <w:left w:val="nil"/>
              <w:bottom w:val="single" w:sz="4" w:space="0" w:color="000000"/>
              <w:right w:val="nil"/>
              <w:tl2br w:val="nil"/>
              <w:tr2bl w:val="nil"/>
            </w:tcBorders>
            <w:shd w:val="clear" w:color="auto" w:fill="FFFFFF"/>
          </w:tcPr>
          <w:p w14:paraId="08DEFA5A"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296" w:type="dxa"/>
            <w:tcBorders>
              <w:top w:val="single" w:sz="12" w:space="0" w:color="000000"/>
              <w:left w:val="nil"/>
              <w:bottom w:val="single" w:sz="4" w:space="0" w:color="000000"/>
              <w:right w:val="nil"/>
              <w:tl2br w:val="nil"/>
              <w:tr2bl w:val="nil"/>
            </w:tcBorders>
            <w:shd w:val="clear" w:color="auto" w:fill="FFFFFF"/>
          </w:tcPr>
          <w:p w14:paraId="6D37094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count</w:t>
            </w:r>
          </w:p>
        </w:tc>
        <w:tc>
          <w:tcPr>
            <w:tcW w:w="1296" w:type="dxa"/>
            <w:tcBorders>
              <w:top w:val="single" w:sz="12" w:space="0" w:color="000000"/>
              <w:left w:val="nil"/>
              <w:bottom w:val="single" w:sz="4" w:space="0" w:color="000000"/>
              <w:right w:val="nil"/>
              <w:tl2br w:val="nil"/>
              <w:tr2bl w:val="nil"/>
            </w:tcBorders>
            <w:shd w:val="clear" w:color="auto" w:fill="FFFFFF"/>
          </w:tcPr>
          <w:p w14:paraId="736C375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mean</w:t>
            </w:r>
          </w:p>
        </w:tc>
        <w:tc>
          <w:tcPr>
            <w:tcW w:w="1296" w:type="dxa"/>
            <w:tcBorders>
              <w:top w:val="single" w:sz="12" w:space="0" w:color="000000"/>
              <w:left w:val="nil"/>
              <w:bottom w:val="single" w:sz="4" w:space="0" w:color="000000"/>
              <w:right w:val="nil"/>
              <w:tl2br w:val="nil"/>
              <w:tr2bl w:val="nil"/>
            </w:tcBorders>
            <w:shd w:val="clear" w:color="auto" w:fill="FFFFFF"/>
          </w:tcPr>
          <w:p w14:paraId="1995091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sd</w:t>
            </w:r>
            <w:proofErr w:type="spellEnd"/>
          </w:p>
        </w:tc>
        <w:tc>
          <w:tcPr>
            <w:tcW w:w="1296" w:type="dxa"/>
            <w:tcBorders>
              <w:top w:val="single" w:sz="12" w:space="0" w:color="000000"/>
              <w:left w:val="nil"/>
              <w:bottom w:val="single" w:sz="4" w:space="0" w:color="000000"/>
              <w:right w:val="nil"/>
              <w:tl2br w:val="nil"/>
              <w:tr2bl w:val="nil"/>
            </w:tcBorders>
            <w:shd w:val="clear" w:color="auto" w:fill="FFFFFF"/>
          </w:tcPr>
          <w:p w14:paraId="058B49A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min</w:t>
            </w:r>
          </w:p>
        </w:tc>
        <w:tc>
          <w:tcPr>
            <w:tcW w:w="1296" w:type="dxa"/>
            <w:tcBorders>
              <w:top w:val="single" w:sz="12" w:space="0" w:color="000000"/>
              <w:left w:val="nil"/>
              <w:bottom w:val="single" w:sz="4" w:space="0" w:color="000000"/>
              <w:right w:val="nil"/>
              <w:tl2br w:val="nil"/>
              <w:tr2bl w:val="nil"/>
            </w:tcBorders>
            <w:shd w:val="clear" w:color="auto" w:fill="FFFFFF"/>
          </w:tcPr>
          <w:p w14:paraId="4B95FE6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p50</w:t>
            </w:r>
          </w:p>
        </w:tc>
        <w:tc>
          <w:tcPr>
            <w:tcW w:w="1296" w:type="dxa"/>
            <w:tcBorders>
              <w:top w:val="single" w:sz="12" w:space="0" w:color="000000"/>
              <w:left w:val="nil"/>
              <w:bottom w:val="single" w:sz="4" w:space="0" w:color="000000"/>
              <w:right w:val="nil"/>
              <w:tl2br w:val="nil"/>
              <w:tr2bl w:val="nil"/>
            </w:tcBorders>
            <w:shd w:val="clear" w:color="auto" w:fill="FFFFFF"/>
          </w:tcPr>
          <w:p w14:paraId="544ED5F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max</w:t>
            </w:r>
          </w:p>
        </w:tc>
      </w:tr>
      <w:tr w:rsidR="00624AAA" w14:paraId="3F7684A1" w14:textId="77777777">
        <w:tc>
          <w:tcPr>
            <w:tcW w:w="1416" w:type="dxa"/>
            <w:tcBorders>
              <w:top w:val="single" w:sz="4" w:space="0" w:color="000000"/>
              <w:left w:val="nil"/>
              <w:bottom w:val="nil"/>
              <w:right w:val="nil"/>
              <w:tl2br w:val="nil"/>
              <w:tr2bl w:val="nil"/>
            </w:tcBorders>
            <w:shd w:val="clear" w:color="auto" w:fill="FFFFFF"/>
          </w:tcPr>
          <w:p w14:paraId="14F734F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SGR</w:t>
            </w:r>
          </w:p>
        </w:tc>
        <w:tc>
          <w:tcPr>
            <w:tcW w:w="1296" w:type="dxa"/>
            <w:tcBorders>
              <w:top w:val="single" w:sz="4" w:space="0" w:color="000000"/>
              <w:left w:val="nil"/>
              <w:bottom w:val="nil"/>
              <w:right w:val="nil"/>
              <w:tl2br w:val="nil"/>
              <w:tr2bl w:val="nil"/>
            </w:tcBorders>
            <w:shd w:val="clear" w:color="auto" w:fill="FFFFFF"/>
          </w:tcPr>
          <w:p w14:paraId="6AB88C0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single" w:sz="4" w:space="0" w:color="000000"/>
              <w:left w:val="nil"/>
              <w:bottom w:val="nil"/>
              <w:right w:val="nil"/>
              <w:tl2br w:val="nil"/>
              <w:tr2bl w:val="nil"/>
            </w:tcBorders>
            <w:shd w:val="clear" w:color="auto" w:fill="FFFFFF"/>
          </w:tcPr>
          <w:p w14:paraId="44E0B24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0.047</w:t>
            </w:r>
          </w:p>
        </w:tc>
        <w:tc>
          <w:tcPr>
            <w:tcW w:w="1296" w:type="dxa"/>
            <w:tcBorders>
              <w:top w:val="single" w:sz="4" w:space="0" w:color="000000"/>
              <w:left w:val="nil"/>
              <w:bottom w:val="nil"/>
              <w:right w:val="nil"/>
              <w:tl2br w:val="nil"/>
              <w:tr2bl w:val="nil"/>
            </w:tcBorders>
            <w:shd w:val="clear" w:color="auto" w:fill="FFFFFF"/>
          </w:tcPr>
          <w:p w14:paraId="7B23F71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0.107</w:t>
            </w:r>
          </w:p>
        </w:tc>
        <w:tc>
          <w:tcPr>
            <w:tcW w:w="1296" w:type="dxa"/>
            <w:tcBorders>
              <w:top w:val="single" w:sz="4" w:space="0" w:color="000000"/>
              <w:left w:val="nil"/>
              <w:bottom w:val="nil"/>
              <w:right w:val="nil"/>
              <w:tl2br w:val="nil"/>
              <w:tr2bl w:val="nil"/>
            </w:tcBorders>
            <w:shd w:val="clear" w:color="auto" w:fill="FFFFFF"/>
          </w:tcPr>
          <w:p w14:paraId="2DCA975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-0.652</w:t>
            </w:r>
          </w:p>
        </w:tc>
        <w:tc>
          <w:tcPr>
            <w:tcW w:w="1296" w:type="dxa"/>
            <w:tcBorders>
              <w:top w:val="single" w:sz="4" w:space="0" w:color="000000"/>
              <w:left w:val="nil"/>
              <w:bottom w:val="nil"/>
              <w:right w:val="nil"/>
              <w:tl2br w:val="nil"/>
              <w:tr2bl w:val="nil"/>
            </w:tcBorders>
            <w:shd w:val="clear" w:color="auto" w:fill="FFFFFF"/>
          </w:tcPr>
          <w:p w14:paraId="501C3C1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0.050</w:t>
            </w:r>
          </w:p>
        </w:tc>
        <w:tc>
          <w:tcPr>
            <w:tcW w:w="1296" w:type="dxa"/>
            <w:tcBorders>
              <w:top w:val="single" w:sz="4" w:space="0" w:color="000000"/>
              <w:left w:val="nil"/>
              <w:bottom w:val="nil"/>
              <w:right w:val="nil"/>
              <w:tl2br w:val="nil"/>
              <w:tr2bl w:val="nil"/>
            </w:tcBorders>
            <w:shd w:val="clear" w:color="auto" w:fill="FFFFFF"/>
          </w:tcPr>
          <w:p w14:paraId="66394E1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0.467</w:t>
            </w:r>
          </w:p>
        </w:tc>
      </w:tr>
      <w:tr w:rsidR="00624AAA" w14:paraId="252EF730" w14:textId="77777777">
        <w:tc>
          <w:tcPr>
            <w:tcW w:w="1416" w:type="dxa"/>
            <w:tcBorders>
              <w:top w:val="nil"/>
              <w:left w:val="nil"/>
              <w:bottom w:val="nil"/>
              <w:right w:val="nil"/>
              <w:tl2br w:val="nil"/>
              <w:tr2bl w:val="nil"/>
            </w:tcBorders>
            <w:shd w:val="clear" w:color="auto" w:fill="FFFFFF"/>
          </w:tcPr>
          <w:p w14:paraId="40CAE30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PV</w:t>
            </w:r>
          </w:p>
        </w:tc>
        <w:tc>
          <w:tcPr>
            <w:tcW w:w="1296" w:type="dxa"/>
            <w:tcBorders>
              <w:top w:val="nil"/>
              <w:left w:val="nil"/>
              <w:bottom w:val="nil"/>
              <w:right w:val="nil"/>
              <w:tl2br w:val="nil"/>
              <w:tr2bl w:val="nil"/>
            </w:tcBorders>
            <w:shd w:val="clear" w:color="auto" w:fill="FFFFFF"/>
          </w:tcPr>
          <w:p w14:paraId="4273D1B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70413B5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0.032</w:t>
            </w:r>
          </w:p>
        </w:tc>
        <w:tc>
          <w:tcPr>
            <w:tcW w:w="1296" w:type="dxa"/>
            <w:tcBorders>
              <w:top w:val="nil"/>
              <w:left w:val="nil"/>
              <w:bottom w:val="nil"/>
              <w:right w:val="nil"/>
              <w:tl2br w:val="nil"/>
              <w:tr2bl w:val="nil"/>
            </w:tcBorders>
            <w:shd w:val="clear" w:color="auto" w:fill="FFFFFF"/>
          </w:tcPr>
          <w:p w14:paraId="118E34A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0.044</w:t>
            </w:r>
          </w:p>
        </w:tc>
        <w:tc>
          <w:tcPr>
            <w:tcW w:w="1296" w:type="dxa"/>
            <w:tcBorders>
              <w:top w:val="nil"/>
              <w:left w:val="nil"/>
              <w:bottom w:val="nil"/>
              <w:right w:val="nil"/>
              <w:tl2br w:val="nil"/>
              <w:tr2bl w:val="nil"/>
            </w:tcBorders>
            <w:shd w:val="clear" w:color="auto" w:fill="FFFFFF"/>
          </w:tcPr>
          <w:p w14:paraId="1785A4A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0.001</w:t>
            </w:r>
          </w:p>
        </w:tc>
        <w:tc>
          <w:tcPr>
            <w:tcW w:w="1296" w:type="dxa"/>
            <w:tcBorders>
              <w:top w:val="nil"/>
              <w:left w:val="nil"/>
              <w:bottom w:val="nil"/>
              <w:right w:val="nil"/>
              <w:tl2br w:val="nil"/>
              <w:tr2bl w:val="nil"/>
            </w:tcBorders>
            <w:shd w:val="clear" w:color="auto" w:fill="FFFFFF"/>
          </w:tcPr>
          <w:p w14:paraId="7D09B1C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0.018</w:t>
            </w:r>
          </w:p>
        </w:tc>
        <w:tc>
          <w:tcPr>
            <w:tcW w:w="1296" w:type="dxa"/>
            <w:tcBorders>
              <w:top w:val="nil"/>
              <w:left w:val="nil"/>
              <w:bottom w:val="nil"/>
              <w:right w:val="nil"/>
              <w:tl2br w:val="nil"/>
              <w:tr2bl w:val="nil"/>
            </w:tcBorders>
            <w:shd w:val="clear" w:color="auto" w:fill="FFFFFF"/>
          </w:tcPr>
          <w:p w14:paraId="77F5A10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0.366</w:t>
            </w:r>
          </w:p>
        </w:tc>
      </w:tr>
      <w:tr w:rsidR="00624AAA" w14:paraId="051AD7CF" w14:textId="77777777">
        <w:tc>
          <w:tcPr>
            <w:tcW w:w="1416" w:type="dxa"/>
            <w:tcBorders>
              <w:top w:val="nil"/>
              <w:left w:val="nil"/>
              <w:bottom w:val="nil"/>
              <w:right w:val="nil"/>
              <w:tl2br w:val="nil"/>
              <w:tr2bl w:val="nil"/>
            </w:tcBorders>
            <w:shd w:val="clear" w:color="auto" w:fill="FFFFFF"/>
          </w:tcPr>
          <w:p w14:paraId="15CDB31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greeninvest</w:t>
            </w:r>
            <w:proofErr w:type="spellEnd"/>
          </w:p>
        </w:tc>
        <w:tc>
          <w:tcPr>
            <w:tcW w:w="1296" w:type="dxa"/>
            <w:tcBorders>
              <w:top w:val="nil"/>
              <w:left w:val="nil"/>
              <w:bottom w:val="nil"/>
              <w:right w:val="nil"/>
              <w:tl2br w:val="nil"/>
              <w:tr2bl w:val="nil"/>
            </w:tcBorders>
            <w:shd w:val="clear" w:color="auto" w:fill="FFFFFF"/>
          </w:tcPr>
          <w:p w14:paraId="0F5C849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6B56C19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0.178</w:t>
            </w:r>
          </w:p>
        </w:tc>
        <w:tc>
          <w:tcPr>
            <w:tcW w:w="1296" w:type="dxa"/>
            <w:tcBorders>
              <w:top w:val="nil"/>
              <w:left w:val="nil"/>
              <w:bottom w:val="nil"/>
              <w:right w:val="nil"/>
              <w:tl2br w:val="nil"/>
              <w:tr2bl w:val="nil"/>
            </w:tcBorders>
            <w:shd w:val="clear" w:color="auto" w:fill="FFFFFF"/>
          </w:tcPr>
          <w:p w14:paraId="7A4E5F1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0.132</w:t>
            </w:r>
          </w:p>
        </w:tc>
        <w:tc>
          <w:tcPr>
            <w:tcW w:w="1296" w:type="dxa"/>
            <w:tcBorders>
              <w:top w:val="nil"/>
              <w:left w:val="nil"/>
              <w:bottom w:val="nil"/>
              <w:right w:val="nil"/>
              <w:tl2br w:val="nil"/>
              <w:tr2bl w:val="nil"/>
            </w:tcBorders>
            <w:shd w:val="clear" w:color="auto" w:fill="FFFFFF"/>
          </w:tcPr>
          <w:p w14:paraId="2BA2613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0.016</w:t>
            </w:r>
          </w:p>
        </w:tc>
        <w:tc>
          <w:tcPr>
            <w:tcW w:w="1296" w:type="dxa"/>
            <w:tcBorders>
              <w:top w:val="nil"/>
              <w:left w:val="nil"/>
              <w:bottom w:val="nil"/>
              <w:right w:val="nil"/>
              <w:tl2br w:val="nil"/>
              <w:tr2bl w:val="nil"/>
            </w:tcBorders>
            <w:shd w:val="clear" w:color="auto" w:fill="FFFFFF"/>
          </w:tcPr>
          <w:p w14:paraId="0F77C0C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0.147</w:t>
            </w:r>
          </w:p>
        </w:tc>
        <w:tc>
          <w:tcPr>
            <w:tcW w:w="1296" w:type="dxa"/>
            <w:tcBorders>
              <w:top w:val="nil"/>
              <w:left w:val="nil"/>
              <w:bottom w:val="nil"/>
              <w:right w:val="nil"/>
              <w:tl2br w:val="nil"/>
              <w:tr2bl w:val="nil"/>
            </w:tcBorders>
            <w:shd w:val="clear" w:color="auto" w:fill="FFFFFF"/>
          </w:tcPr>
          <w:p w14:paraId="002ACD8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0.953</w:t>
            </w:r>
          </w:p>
        </w:tc>
      </w:tr>
      <w:tr w:rsidR="00624AAA" w14:paraId="6A49C79F" w14:textId="77777777">
        <w:tc>
          <w:tcPr>
            <w:tcW w:w="1416" w:type="dxa"/>
            <w:tcBorders>
              <w:top w:val="nil"/>
              <w:left w:val="nil"/>
              <w:bottom w:val="nil"/>
              <w:right w:val="nil"/>
              <w:tl2br w:val="nil"/>
              <w:tr2bl w:val="nil"/>
            </w:tcBorders>
            <w:shd w:val="clear" w:color="auto" w:fill="FFFFFF"/>
          </w:tcPr>
          <w:p w14:paraId="71D5E30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greenmanagement</w:t>
            </w:r>
            <w:proofErr w:type="spellEnd"/>
          </w:p>
        </w:tc>
        <w:tc>
          <w:tcPr>
            <w:tcW w:w="1296" w:type="dxa"/>
            <w:tcBorders>
              <w:top w:val="nil"/>
              <w:left w:val="nil"/>
              <w:bottom w:val="nil"/>
              <w:right w:val="nil"/>
              <w:tl2br w:val="nil"/>
              <w:tr2bl w:val="nil"/>
            </w:tcBorders>
            <w:shd w:val="clear" w:color="auto" w:fill="FFFFFF"/>
          </w:tcPr>
          <w:p w14:paraId="3573B96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339BA18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0.575</w:t>
            </w:r>
          </w:p>
        </w:tc>
        <w:tc>
          <w:tcPr>
            <w:tcW w:w="1296" w:type="dxa"/>
            <w:tcBorders>
              <w:top w:val="nil"/>
              <w:left w:val="nil"/>
              <w:bottom w:val="nil"/>
              <w:right w:val="nil"/>
              <w:tl2br w:val="nil"/>
              <w:tr2bl w:val="nil"/>
            </w:tcBorders>
            <w:shd w:val="clear" w:color="auto" w:fill="FFFFFF"/>
          </w:tcPr>
          <w:p w14:paraId="749038A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0.578</w:t>
            </w:r>
          </w:p>
        </w:tc>
        <w:tc>
          <w:tcPr>
            <w:tcW w:w="1296" w:type="dxa"/>
            <w:tcBorders>
              <w:top w:val="nil"/>
              <w:left w:val="nil"/>
              <w:bottom w:val="nil"/>
              <w:right w:val="nil"/>
              <w:tl2br w:val="nil"/>
              <w:tr2bl w:val="nil"/>
            </w:tcBorders>
            <w:shd w:val="clear" w:color="auto" w:fill="FFFFFF"/>
          </w:tcPr>
          <w:p w14:paraId="5BD9D6C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4F124D9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0.693</w:t>
            </w:r>
          </w:p>
        </w:tc>
        <w:tc>
          <w:tcPr>
            <w:tcW w:w="1296" w:type="dxa"/>
            <w:tcBorders>
              <w:top w:val="nil"/>
              <w:left w:val="nil"/>
              <w:bottom w:val="nil"/>
              <w:right w:val="nil"/>
              <w:tl2br w:val="nil"/>
              <w:tr2bl w:val="nil"/>
            </w:tcBorders>
            <w:shd w:val="clear" w:color="auto" w:fill="FFFFFF"/>
          </w:tcPr>
          <w:p w14:paraId="0C38636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1.792</w:t>
            </w:r>
          </w:p>
        </w:tc>
      </w:tr>
      <w:tr w:rsidR="00624AAA" w14:paraId="09A9A76E" w14:textId="77777777">
        <w:tc>
          <w:tcPr>
            <w:tcW w:w="1416" w:type="dxa"/>
            <w:tcBorders>
              <w:top w:val="nil"/>
              <w:left w:val="nil"/>
              <w:bottom w:val="nil"/>
              <w:right w:val="nil"/>
              <w:tl2br w:val="nil"/>
              <w:tr2bl w:val="nil"/>
            </w:tcBorders>
            <w:shd w:val="clear" w:color="auto" w:fill="FFFFFF"/>
          </w:tcPr>
          <w:p w14:paraId="2B7C05D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greentran</w:t>
            </w:r>
            <w:proofErr w:type="spellEnd"/>
          </w:p>
        </w:tc>
        <w:tc>
          <w:tcPr>
            <w:tcW w:w="1296" w:type="dxa"/>
            <w:tcBorders>
              <w:top w:val="nil"/>
              <w:left w:val="nil"/>
              <w:bottom w:val="nil"/>
              <w:right w:val="nil"/>
              <w:tl2br w:val="nil"/>
              <w:tr2bl w:val="nil"/>
            </w:tcBorders>
            <w:shd w:val="clear" w:color="auto" w:fill="FFFFFF"/>
          </w:tcPr>
          <w:p w14:paraId="4FF9C6B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3C49A67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3.279</w:t>
            </w:r>
          </w:p>
        </w:tc>
        <w:tc>
          <w:tcPr>
            <w:tcW w:w="1296" w:type="dxa"/>
            <w:tcBorders>
              <w:top w:val="nil"/>
              <w:left w:val="nil"/>
              <w:bottom w:val="nil"/>
              <w:right w:val="nil"/>
              <w:tl2br w:val="nil"/>
              <w:tr2bl w:val="nil"/>
            </w:tcBorders>
            <w:shd w:val="clear" w:color="auto" w:fill="FFFFFF"/>
          </w:tcPr>
          <w:p w14:paraId="7082DA7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0.802</w:t>
            </w:r>
          </w:p>
        </w:tc>
        <w:tc>
          <w:tcPr>
            <w:tcW w:w="1296" w:type="dxa"/>
            <w:tcBorders>
              <w:top w:val="nil"/>
              <w:left w:val="nil"/>
              <w:bottom w:val="nil"/>
              <w:right w:val="nil"/>
              <w:tl2br w:val="nil"/>
              <w:tr2bl w:val="nil"/>
            </w:tcBorders>
            <w:shd w:val="clear" w:color="auto" w:fill="FFFFFF"/>
          </w:tcPr>
          <w:p w14:paraId="670522B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1.508</w:t>
            </w:r>
          </w:p>
        </w:tc>
        <w:tc>
          <w:tcPr>
            <w:tcW w:w="1296" w:type="dxa"/>
            <w:tcBorders>
              <w:top w:val="nil"/>
              <w:left w:val="nil"/>
              <w:bottom w:val="nil"/>
              <w:right w:val="nil"/>
              <w:tl2br w:val="nil"/>
              <w:tr2bl w:val="nil"/>
            </w:tcBorders>
            <w:shd w:val="clear" w:color="auto" w:fill="FFFFFF"/>
          </w:tcPr>
          <w:p w14:paraId="4B12760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3.233</w:t>
            </w:r>
          </w:p>
        </w:tc>
        <w:tc>
          <w:tcPr>
            <w:tcW w:w="1296" w:type="dxa"/>
            <w:tcBorders>
              <w:top w:val="nil"/>
              <w:left w:val="nil"/>
              <w:bottom w:val="nil"/>
              <w:right w:val="nil"/>
              <w:tl2br w:val="nil"/>
              <w:tr2bl w:val="nil"/>
            </w:tcBorders>
            <w:shd w:val="clear" w:color="auto" w:fill="FFFFFF"/>
          </w:tcPr>
          <w:p w14:paraId="1E464AA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5.229</w:t>
            </w:r>
          </w:p>
        </w:tc>
      </w:tr>
      <w:tr w:rsidR="00624AAA" w14:paraId="68CA57DB" w14:textId="77777777">
        <w:tc>
          <w:tcPr>
            <w:tcW w:w="1416" w:type="dxa"/>
            <w:tcBorders>
              <w:top w:val="nil"/>
              <w:left w:val="nil"/>
              <w:bottom w:val="nil"/>
              <w:right w:val="nil"/>
              <w:tl2br w:val="nil"/>
              <w:tr2bl w:val="nil"/>
            </w:tcBorders>
            <w:shd w:val="clear" w:color="auto" w:fill="FFFFFF"/>
          </w:tcPr>
          <w:p w14:paraId="4C88EF7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erse</w:t>
            </w:r>
            <w:proofErr w:type="spellEnd"/>
          </w:p>
        </w:tc>
        <w:tc>
          <w:tcPr>
            <w:tcW w:w="1296" w:type="dxa"/>
            <w:tcBorders>
              <w:top w:val="nil"/>
              <w:left w:val="nil"/>
              <w:bottom w:val="nil"/>
              <w:right w:val="nil"/>
              <w:tl2br w:val="nil"/>
              <w:tr2bl w:val="nil"/>
            </w:tcBorders>
            <w:shd w:val="clear" w:color="auto" w:fill="FFFFFF"/>
          </w:tcPr>
          <w:p w14:paraId="3C58880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2B66FA1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12.801</w:t>
            </w:r>
          </w:p>
        </w:tc>
        <w:tc>
          <w:tcPr>
            <w:tcW w:w="1296" w:type="dxa"/>
            <w:tcBorders>
              <w:top w:val="nil"/>
              <w:left w:val="nil"/>
              <w:bottom w:val="nil"/>
              <w:right w:val="nil"/>
              <w:tl2br w:val="nil"/>
              <w:tr2bl w:val="nil"/>
            </w:tcBorders>
            <w:shd w:val="clear" w:color="auto" w:fill="FFFFFF"/>
          </w:tcPr>
          <w:p w14:paraId="289508C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13.412</w:t>
            </w:r>
          </w:p>
        </w:tc>
        <w:tc>
          <w:tcPr>
            <w:tcW w:w="1296" w:type="dxa"/>
            <w:tcBorders>
              <w:top w:val="nil"/>
              <w:left w:val="nil"/>
              <w:bottom w:val="nil"/>
              <w:right w:val="nil"/>
              <w:tl2br w:val="nil"/>
              <w:tr2bl w:val="nil"/>
            </w:tcBorders>
            <w:shd w:val="clear" w:color="auto" w:fill="FFFFFF"/>
          </w:tcPr>
          <w:p w14:paraId="787E1AD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18D7DF6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8.169</w:t>
            </w:r>
          </w:p>
        </w:tc>
        <w:tc>
          <w:tcPr>
            <w:tcW w:w="1296" w:type="dxa"/>
            <w:tcBorders>
              <w:top w:val="nil"/>
              <w:left w:val="nil"/>
              <w:bottom w:val="nil"/>
              <w:right w:val="nil"/>
              <w:tl2br w:val="nil"/>
              <w:tr2bl w:val="nil"/>
            </w:tcBorders>
            <w:shd w:val="clear" w:color="auto" w:fill="FFFFFF"/>
          </w:tcPr>
          <w:p w14:paraId="2CA248A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74.191</w:t>
            </w:r>
          </w:p>
        </w:tc>
      </w:tr>
      <w:tr w:rsidR="00624AAA" w14:paraId="4E5D0A7D" w14:textId="77777777">
        <w:tc>
          <w:tcPr>
            <w:tcW w:w="1416" w:type="dxa"/>
            <w:tcBorders>
              <w:top w:val="nil"/>
              <w:left w:val="nil"/>
              <w:bottom w:val="nil"/>
              <w:right w:val="nil"/>
              <w:tl2br w:val="nil"/>
              <w:tr2bl w:val="nil"/>
            </w:tcBorders>
            <w:shd w:val="clear" w:color="auto" w:fill="FFFFFF"/>
          </w:tcPr>
          <w:p w14:paraId="35994BF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GROE</w:t>
            </w:r>
          </w:p>
        </w:tc>
        <w:tc>
          <w:tcPr>
            <w:tcW w:w="1296" w:type="dxa"/>
            <w:tcBorders>
              <w:top w:val="nil"/>
              <w:left w:val="nil"/>
              <w:bottom w:val="nil"/>
              <w:right w:val="nil"/>
              <w:tl2br w:val="nil"/>
              <w:tr2bl w:val="nil"/>
            </w:tcBorders>
            <w:shd w:val="clear" w:color="auto" w:fill="FFFFFF"/>
          </w:tcPr>
          <w:p w14:paraId="55033F2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789ABCD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-0.650</w:t>
            </w:r>
          </w:p>
        </w:tc>
        <w:tc>
          <w:tcPr>
            <w:tcW w:w="1296" w:type="dxa"/>
            <w:tcBorders>
              <w:top w:val="nil"/>
              <w:left w:val="nil"/>
              <w:bottom w:val="nil"/>
              <w:right w:val="nil"/>
              <w:tl2br w:val="nil"/>
              <w:tr2bl w:val="nil"/>
            </w:tcBorders>
            <w:shd w:val="clear" w:color="auto" w:fill="FFFFFF"/>
          </w:tcPr>
          <w:p w14:paraId="634C7A9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9.516</w:t>
            </w:r>
          </w:p>
        </w:tc>
        <w:tc>
          <w:tcPr>
            <w:tcW w:w="1296" w:type="dxa"/>
            <w:tcBorders>
              <w:top w:val="nil"/>
              <w:left w:val="nil"/>
              <w:bottom w:val="nil"/>
              <w:right w:val="nil"/>
              <w:tl2br w:val="nil"/>
              <w:tr2bl w:val="nil"/>
            </w:tcBorders>
            <w:shd w:val="clear" w:color="auto" w:fill="FFFFFF"/>
          </w:tcPr>
          <w:p w14:paraId="0808136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-132.208</w:t>
            </w:r>
          </w:p>
        </w:tc>
        <w:tc>
          <w:tcPr>
            <w:tcW w:w="1296" w:type="dxa"/>
            <w:tcBorders>
              <w:top w:val="nil"/>
              <w:left w:val="nil"/>
              <w:bottom w:val="nil"/>
              <w:right w:val="nil"/>
              <w:tl2br w:val="nil"/>
              <w:tr2bl w:val="nil"/>
            </w:tcBorders>
            <w:shd w:val="clear" w:color="auto" w:fill="FFFFFF"/>
          </w:tcPr>
          <w:p w14:paraId="38DE204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3C88276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36.367</w:t>
            </w:r>
          </w:p>
        </w:tc>
      </w:tr>
      <w:tr w:rsidR="00624AAA" w14:paraId="70CD5A93" w14:textId="77777777">
        <w:tc>
          <w:tcPr>
            <w:tcW w:w="1416" w:type="dxa"/>
            <w:tcBorders>
              <w:top w:val="nil"/>
              <w:left w:val="nil"/>
              <w:bottom w:val="nil"/>
              <w:right w:val="nil"/>
              <w:tl2br w:val="nil"/>
              <w:tr2bl w:val="nil"/>
            </w:tcBorders>
            <w:shd w:val="clear" w:color="auto" w:fill="FFFFFF"/>
          </w:tcPr>
          <w:p w14:paraId="6268365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GPF</w:t>
            </w:r>
          </w:p>
        </w:tc>
        <w:tc>
          <w:tcPr>
            <w:tcW w:w="1296" w:type="dxa"/>
            <w:tcBorders>
              <w:top w:val="nil"/>
              <w:left w:val="nil"/>
              <w:bottom w:val="nil"/>
              <w:right w:val="nil"/>
              <w:tl2br w:val="nil"/>
              <w:tr2bl w:val="nil"/>
            </w:tcBorders>
            <w:shd w:val="clear" w:color="auto" w:fill="FFFFFF"/>
          </w:tcPr>
          <w:p w14:paraId="52F9E57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57E5376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-0.273</w:t>
            </w:r>
          </w:p>
        </w:tc>
        <w:tc>
          <w:tcPr>
            <w:tcW w:w="1296" w:type="dxa"/>
            <w:tcBorders>
              <w:top w:val="nil"/>
              <w:left w:val="nil"/>
              <w:bottom w:val="nil"/>
              <w:right w:val="nil"/>
              <w:tl2br w:val="nil"/>
              <w:tr2bl w:val="nil"/>
            </w:tcBorders>
            <w:shd w:val="clear" w:color="auto" w:fill="FFFFFF"/>
          </w:tcPr>
          <w:p w14:paraId="0F8C8D6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6.002</w:t>
            </w:r>
          </w:p>
        </w:tc>
        <w:tc>
          <w:tcPr>
            <w:tcW w:w="1296" w:type="dxa"/>
            <w:tcBorders>
              <w:top w:val="nil"/>
              <w:left w:val="nil"/>
              <w:bottom w:val="nil"/>
              <w:right w:val="nil"/>
              <w:tl2br w:val="nil"/>
              <w:tr2bl w:val="nil"/>
            </w:tcBorders>
            <w:shd w:val="clear" w:color="auto" w:fill="FFFFFF"/>
          </w:tcPr>
          <w:p w14:paraId="1E1A11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-68.104</w:t>
            </w:r>
          </w:p>
        </w:tc>
        <w:tc>
          <w:tcPr>
            <w:tcW w:w="1296" w:type="dxa"/>
            <w:tcBorders>
              <w:top w:val="nil"/>
              <w:left w:val="nil"/>
              <w:bottom w:val="nil"/>
              <w:right w:val="nil"/>
              <w:tl2br w:val="nil"/>
              <w:tr2bl w:val="nil"/>
            </w:tcBorders>
            <w:shd w:val="clear" w:color="auto" w:fill="FFFFFF"/>
          </w:tcPr>
          <w:p w14:paraId="691EF86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642B6BA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49.028</w:t>
            </w:r>
          </w:p>
        </w:tc>
      </w:tr>
      <w:tr w:rsidR="00624AAA" w14:paraId="7F4E062D" w14:textId="77777777">
        <w:tc>
          <w:tcPr>
            <w:tcW w:w="1416" w:type="dxa"/>
            <w:tcBorders>
              <w:top w:val="nil"/>
              <w:left w:val="nil"/>
              <w:bottom w:val="nil"/>
              <w:right w:val="nil"/>
              <w:tl2br w:val="nil"/>
              <w:tr2bl w:val="nil"/>
            </w:tcBorders>
            <w:shd w:val="clear" w:color="auto" w:fill="FFFFFF"/>
          </w:tcPr>
          <w:p w14:paraId="1118BE1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GNFO</w:t>
            </w:r>
          </w:p>
        </w:tc>
        <w:tc>
          <w:tcPr>
            <w:tcW w:w="1296" w:type="dxa"/>
            <w:tcBorders>
              <w:top w:val="nil"/>
              <w:left w:val="nil"/>
              <w:bottom w:val="nil"/>
              <w:right w:val="nil"/>
              <w:tl2br w:val="nil"/>
              <w:tr2bl w:val="nil"/>
            </w:tcBorders>
            <w:shd w:val="clear" w:color="auto" w:fill="FFFFFF"/>
          </w:tcPr>
          <w:p w14:paraId="7D41B94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5D6E67E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1.998</w:t>
            </w:r>
          </w:p>
        </w:tc>
        <w:tc>
          <w:tcPr>
            <w:tcW w:w="1296" w:type="dxa"/>
            <w:tcBorders>
              <w:top w:val="nil"/>
              <w:left w:val="nil"/>
              <w:bottom w:val="nil"/>
              <w:right w:val="nil"/>
              <w:tl2br w:val="nil"/>
              <w:tr2bl w:val="nil"/>
            </w:tcBorders>
            <w:shd w:val="clear" w:color="auto" w:fill="FFFFFF"/>
          </w:tcPr>
          <w:p w14:paraId="6F9429D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8.561</w:t>
            </w:r>
          </w:p>
        </w:tc>
        <w:tc>
          <w:tcPr>
            <w:tcW w:w="1296" w:type="dxa"/>
            <w:tcBorders>
              <w:top w:val="nil"/>
              <w:left w:val="nil"/>
              <w:bottom w:val="nil"/>
              <w:right w:val="nil"/>
              <w:tl2br w:val="nil"/>
              <w:tr2bl w:val="nil"/>
            </w:tcBorders>
            <w:shd w:val="clear" w:color="auto" w:fill="FFFFFF"/>
          </w:tcPr>
          <w:p w14:paraId="2215BD5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-10.465</w:t>
            </w:r>
          </w:p>
        </w:tc>
        <w:tc>
          <w:tcPr>
            <w:tcW w:w="1296" w:type="dxa"/>
            <w:tcBorders>
              <w:top w:val="nil"/>
              <w:left w:val="nil"/>
              <w:bottom w:val="nil"/>
              <w:right w:val="nil"/>
              <w:tl2br w:val="nil"/>
              <w:tr2bl w:val="nil"/>
            </w:tcBorders>
            <w:shd w:val="clear" w:color="auto" w:fill="FFFFFF"/>
          </w:tcPr>
          <w:p w14:paraId="370CF7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0773C4B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117.241</w:t>
            </w:r>
          </w:p>
        </w:tc>
      </w:tr>
      <w:tr w:rsidR="00624AAA" w14:paraId="700BCA44" w14:textId="77777777">
        <w:tc>
          <w:tcPr>
            <w:tcW w:w="1416" w:type="dxa"/>
            <w:tcBorders>
              <w:top w:val="nil"/>
              <w:left w:val="nil"/>
              <w:bottom w:val="nil"/>
              <w:right w:val="nil"/>
              <w:tl2br w:val="nil"/>
              <w:tr2bl w:val="nil"/>
            </w:tcBorders>
            <w:shd w:val="clear" w:color="auto" w:fill="FFFFFF"/>
          </w:tcPr>
          <w:p w14:paraId="6F4FF5E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OT</w:t>
            </w:r>
          </w:p>
        </w:tc>
        <w:tc>
          <w:tcPr>
            <w:tcW w:w="1296" w:type="dxa"/>
            <w:tcBorders>
              <w:top w:val="nil"/>
              <w:left w:val="nil"/>
              <w:bottom w:val="nil"/>
              <w:right w:val="nil"/>
              <w:tl2br w:val="nil"/>
              <w:tr2bl w:val="nil"/>
            </w:tcBorders>
            <w:shd w:val="clear" w:color="auto" w:fill="FFFFFF"/>
          </w:tcPr>
          <w:p w14:paraId="6999FEB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53CE14F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0.963</w:t>
            </w:r>
          </w:p>
        </w:tc>
        <w:tc>
          <w:tcPr>
            <w:tcW w:w="1296" w:type="dxa"/>
            <w:tcBorders>
              <w:top w:val="nil"/>
              <w:left w:val="nil"/>
              <w:bottom w:val="nil"/>
              <w:right w:val="nil"/>
              <w:tl2br w:val="nil"/>
              <w:tr2bl w:val="nil"/>
            </w:tcBorders>
            <w:shd w:val="clear" w:color="auto" w:fill="FFFFFF"/>
          </w:tcPr>
          <w:p w14:paraId="24080B9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2.469</w:t>
            </w:r>
          </w:p>
        </w:tc>
        <w:tc>
          <w:tcPr>
            <w:tcW w:w="1296" w:type="dxa"/>
            <w:tcBorders>
              <w:top w:val="nil"/>
              <w:left w:val="nil"/>
              <w:bottom w:val="nil"/>
              <w:right w:val="nil"/>
              <w:tl2br w:val="nil"/>
              <w:tr2bl w:val="nil"/>
            </w:tcBorders>
            <w:shd w:val="clear" w:color="auto" w:fill="FFFFFF"/>
          </w:tcPr>
          <w:p w14:paraId="63B0BBD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0E227B0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0.339</w:t>
            </w:r>
          </w:p>
        </w:tc>
        <w:tc>
          <w:tcPr>
            <w:tcW w:w="1296" w:type="dxa"/>
            <w:tcBorders>
              <w:top w:val="nil"/>
              <w:left w:val="nil"/>
              <w:bottom w:val="nil"/>
              <w:right w:val="nil"/>
              <w:tl2br w:val="nil"/>
              <w:tr2bl w:val="nil"/>
            </w:tcBorders>
            <w:shd w:val="clear" w:color="auto" w:fill="FFFFFF"/>
          </w:tcPr>
          <w:p w14:paraId="5BD75CB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46.639</w:t>
            </w:r>
          </w:p>
        </w:tc>
      </w:tr>
      <w:tr w:rsidR="00624AAA" w14:paraId="483AD646" w14:textId="77777777">
        <w:tc>
          <w:tcPr>
            <w:tcW w:w="1416" w:type="dxa"/>
            <w:tcBorders>
              <w:top w:val="nil"/>
              <w:left w:val="nil"/>
              <w:bottom w:val="nil"/>
              <w:right w:val="nil"/>
              <w:tl2br w:val="nil"/>
              <w:tr2bl w:val="nil"/>
            </w:tcBorders>
            <w:shd w:val="clear" w:color="auto" w:fill="FFFFFF"/>
          </w:tcPr>
          <w:p w14:paraId="0F5B75F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LT</w:t>
            </w:r>
          </w:p>
        </w:tc>
        <w:tc>
          <w:tcPr>
            <w:tcW w:w="1296" w:type="dxa"/>
            <w:tcBorders>
              <w:top w:val="nil"/>
              <w:left w:val="nil"/>
              <w:bottom w:val="nil"/>
              <w:right w:val="nil"/>
              <w:tl2br w:val="nil"/>
              <w:tr2bl w:val="nil"/>
            </w:tcBorders>
            <w:shd w:val="clear" w:color="auto" w:fill="FFFFFF"/>
          </w:tcPr>
          <w:p w14:paraId="42CA11F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5D1F631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0.265</w:t>
            </w:r>
          </w:p>
        </w:tc>
        <w:tc>
          <w:tcPr>
            <w:tcW w:w="1296" w:type="dxa"/>
            <w:tcBorders>
              <w:top w:val="nil"/>
              <w:left w:val="nil"/>
              <w:bottom w:val="nil"/>
              <w:right w:val="nil"/>
              <w:tl2br w:val="nil"/>
              <w:tr2bl w:val="nil"/>
            </w:tcBorders>
            <w:shd w:val="clear" w:color="auto" w:fill="FFFFFF"/>
          </w:tcPr>
          <w:p w14:paraId="1829D5C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0.196</w:t>
            </w:r>
          </w:p>
        </w:tc>
        <w:tc>
          <w:tcPr>
            <w:tcW w:w="1296" w:type="dxa"/>
            <w:tcBorders>
              <w:top w:val="nil"/>
              <w:left w:val="nil"/>
              <w:bottom w:val="nil"/>
              <w:right w:val="nil"/>
              <w:tl2br w:val="nil"/>
              <w:tr2bl w:val="nil"/>
            </w:tcBorders>
            <w:shd w:val="clear" w:color="auto" w:fill="FFFFFF"/>
          </w:tcPr>
          <w:p w14:paraId="17FA29E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0.015</w:t>
            </w:r>
          </w:p>
        </w:tc>
        <w:tc>
          <w:tcPr>
            <w:tcW w:w="1296" w:type="dxa"/>
            <w:tcBorders>
              <w:top w:val="nil"/>
              <w:left w:val="nil"/>
              <w:bottom w:val="nil"/>
              <w:right w:val="nil"/>
              <w:tl2br w:val="nil"/>
              <w:tr2bl w:val="nil"/>
            </w:tcBorders>
            <w:shd w:val="clear" w:color="auto" w:fill="FFFFFF"/>
          </w:tcPr>
          <w:p w14:paraId="73254B4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0.216</w:t>
            </w:r>
          </w:p>
        </w:tc>
        <w:tc>
          <w:tcPr>
            <w:tcW w:w="1296" w:type="dxa"/>
            <w:tcBorders>
              <w:top w:val="nil"/>
              <w:left w:val="nil"/>
              <w:bottom w:val="nil"/>
              <w:right w:val="nil"/>
              <w:tl2br w:val="nil"/>
              <w:tr2bl w:val="nil"/>
            </w:tcBorders>
            <w:shd w:val="clear" w:color="auto" w:fill="FFFFFF"/>
          </w:tcPr>
          <w:p w14:paraId="78C5682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1.273</w:t>
            </w:r>
          </w:p>
        </w:tc>
      </w:tr>
      <w:tr w:rsidR="00624AAA" w14:paraId="239020EA" w14:textId="77777777">
        <w:tc>
          <w:tcPr>
            <w:tcW w:w="1416" w:type="dxa"/>
            <w:tcBorders>
              <w:top w:val="nil"/>
              <w:left w:val="nil"/>
              <w:bottom w:val="nil"/>
              <w:right w:val="nil"/>
              <w:tl2br w:val="nil"/>
              <w:tr2bl w:val="nil"/>
            </w:tcBorders>
            <w:shd w:val="clear" w:color="auto" w:fill="FFFFFF"/>
          </w:tcPr>
          <w:p w14:paraId="143B175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1296" w:type="dxa"/>
            <w:tcBorders>
              <w:top w:val="nil"/>
              <w:left w:val="nil"/>
              <w:bottom w:val="nil"/>
              <w:right w:val="nil"/>
              <w:tl2br w:val="nil"/>
              <w:tr2bl w:val="nil"/>
            </w:tcBorders>
            <w:shd w:val="clear" w:color="auto" w:fill="FFFFFF"/>
          </w:tcPr>
          <w:p w14:paraId="39FC461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1E1AC5F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0.047</w:t>
            </w:r>
          </w:p>
        </w:tc>
        <w:tc>
          <w:tcPr>
            <w:tcW w:w="1296" w:type="dxa"/>
            <w:tcBorders>
              <w:top w:val="nil"/>
              <w:left w:val="nil"/>
              <w:bottom w:val="nil"/>
              <w:right w:val="nil"/>
              <w:tl2br w:val="nil"/>
              <w:tr2bl w:val="nil"/>
            </w:tcBorders>
            <w:shd w:val="clear" w:color="auto" w:fill="FFFFFF"/>
          </w:tcPr>
          <w:p w14:paraId="042A53A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0.047</w:t>
            </w:r>
          </w:p>
        </w:tc>
        <w:tc>
          <w:tcPr>
            <w:tcW w:w="1296" w:type="dxa"/>
            <w:tcBorders>
              <w:top w:val="nil"/>
              <w:left w:val="nil"/>
              <w:bottom w:val="nil"/>
              <w:right w:val="nil"/>
              <w:tl2br w:val="nil"/>
              <w:tr2bl w:val="nil"/>
            </w:tcBorders>
            <w:shd w:val="clear" w:color="auto" w:fill="FFFFFF"/>
          </w:tcPr>
          <w:p w14:paraId="66D6FD5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60C2A34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0.036</w:t>
            </w:r>
          </w:p>
        </w:tc>
        <w:tc>
          <w:tcPr>
            <w:tcW w:w="1296" w:type="dxa"/>
            <w:tcBorders>
              <w:top w:val="nil"/>
              <w:left w:val="nil"/>
              <w:bottom w:val="nil"/>
              <w:right w:val="nil"/>
              <w:tl2br w:val="nil"/>
              <w:tr2bl w:val="nil"/>
            </w:tcBorders>
            <w:shd w:val="clear" w:color="auto" w:fill="FFFFFF"/>
          </w:tcPr>
          <w:p w14:paraId="25FE305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0.307</w:t>
            </w:r>
          </w:p>
        </w:tc>
      </w:tr>
      <w:tr w:rsidR="00624AAA" w14:paraId="7E534E6B" w14:textId="77777777">
        <w:tc>
          <w:tcPr>
            <w:tcW w:w="1416" w:type="dxa"/>
            <w:tcBorders>
              <w:top w:val="nil"/>
              <w:left w:val="nil"/>
              <w:bottom w:val="nil"/>
              <w:right w:val="nil"/>
              <w:tl2br w:val="nil"/>
              <w:tr2bl w:val="nil"/>
            </w:tcBorders>
            <w:shd w:val="clear" w:color="auto" w:fill="FFFFFF"/>
          </w:tcPr>
          <w:p w14:paraId="6B4B7F2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RDC</w:t>
            </w:r>
          </w:p>
        </w:tc>
        <w:tc>
          <w:tcPr>
            <w:tcW w:w="1296" w:type="dxa"/>
            <w:tcBorders>
              <w:top w:val="nil"/>
              <w:left w:val="nil"/>
              <w:bottom w:val="nil"/>
              <w:right w:val="nil"/>
              <w:tl2br w:val="nil"/>
              <w:tr2bl w:val="nil"/>
            </w:tcBorders>
            <w:shd w:val="clear" w:color="auto" w:fill="FFFFFF"/>
          </w:tcPr>
          <w:p w14:paraId="4A5A0CA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7BA53F7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0.451</w:t>
            </w:r>
          </w:p>
        </w:tc>
        <w:tc>
          <w:tcPr>
            <w:tcW w:w="1296" w:type="dxa"/>
            <w:tcBorders>
              <w:top w:val="nil"/>
              <w:left w:val="nil"/>
              <w:bottom w:val="nil"/>
              <w:right w:val="nil"/>
              <w:tl2br w:val="nil"/>
              <w:tr2bl w:val="nil"/>
            </w:tcBorders>
            <w:shd w:val="clear" w:color="auto" w:fill="FFFFFF"/>
          </w:tcPr>
          <w:p w14:paraId="0D8059F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0.498</w:t>
            </w:r>
          </w:p>
        </w:tc>
        <w:tc>
          <w:tcPr>
            <w:tcW w:w="1296" w:type="dxa"/>
            <w:tcBorders>
              <w:top w:val="nil"/>
              <w:left w:val="nil"/>
              <w:bottom w:val="nil"/>
              <w:right w:val="nil"/>
              <w:tl2br w:val="nil"/>
              <w:tr2bl w:val="nil"/>
            </w:tcBorders>
            <w:shd w:val="clear" w:color="auto" w:fill="FFFFFF"/>
          </w:tcPr>
          <w:p w14:paraId="10078F3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0D0E76A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7EEA51D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w:t>
            </w:r>
          </w:p>
        </w:tc>
      </w:tr>
      <w:tr w:rsidR="00624AAA" w14:paraId="6B1120F6" w14:textId="77777777">
        <w:tc>
          <w:tcPr>
            <w:tcW w:w="1416" w:type="dxa"/>
            <w:tcBorders>
              <w:top w:val="nil"/>
              <w:left w:val="nil"/>
              <w:bottom w:val="nil"/>
              <w:right w:val="nil"/>
              <w:tl2br w:val="nil"/>
              <w:tr2bl w:val="nil"/>
            </w:tcBorders>
            <w:shd w:val="clear" w:color="auto" w:fill="FFFFFF"/>
          </w:tcPr>
          <w:p w14:paraId="5CF4557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RDQ</w:t>
            </w:r>
          </w:p>
        </w:tc>
        <w:tc>
          <w:tcPr>
            <w:tcW w:w="1296" w:type="dxa"/>
            <w:tcBorders>
              <w:top w:val="nil"/>
              <w:left w:val="nil"/>
              <w:bottom w:val="nil"/>
              <w:right w:val="nil"/>
              <w:tl2br w:val="nil"/>
              <w:tr2bl w:val="nil"/>
            </w:tcBorders>
            <w:shd w:val="clear" w:color="auto" w:fill="FFFFFF"/>
          </w:tcPr>
          <w:p w14:paraId="24803E3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66DF27A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0.318</w:t>
            </w:r>
          </w:p>
        </w:tc>
        <w:tc>
          <w:tcPr>
            <w:tcW w:w="1296" w:type="dxa"/>
            <w:tcBorders>
              <w:top w:val="nil"/>
              <w:left w:val="nil"/>
              <w:bottom w:val="nil"/>
              <w:right w:val="nil"/>
              <w:tl2br w:val="nil"/>
              <w:tr2bl w:val="nil"/>
            </w:tcBorders>
            <w:shd w:val="clear" w:color="auto" w:fill="FFFFFF"/>
          </w:tcPr>
          <w:p w14:paraId="1A013EE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0.271</w:t>
            </w:r>
          </w:p>
        </w:tc>
        <w:tc>
          <w:tcPr>
            <w:tcW w:w="1296" w:type="dxa"/>
            <w:tcBorders>
              <w:top w:val="nil"/>
              <w:left w:val="nil"/>
              <w:bottom w:val="nil"/>
              <w:right w:val="nil"/>
              <w:tl2br w:val="nil"/>
              <w:tr2bl w:val="nil"/>
            </w:tcBorders>
            <w:shd w:val="clear" w:color="auto" w:fill="FFFFFF"/>
          </w:tcPr>
          <w:p w14:paraId="3CD7332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26D350F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0.389</w:t>
            </w:r>
          </w:p>
        </w:tc>
        <w:tc>
          <w:tcPr>
            <w:tcW w:w="1296" w:type="dxa"/>
            <w:tcBorders>
              <w:top w:val="nil"/>
              <w:left w:val="nil"/>
              <w:bottom w:val="nil"/>
              <w:right w:val="nil"/>
              <w:tl2br w:val="nil"/>
              <w:tr2bl w:val="nil"/>
            </w:tcBorders>
            <w:shd w:val="clear" w:color="auto" w:fill="FFFFFF"/>
          </w:tcPr>
          <w:p w14:paraId="13D4F03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0.896</w:t>
            </w:r>
          </w:p>
        </w:tc>
      </w:tr>
      <w:tr w:rsidR="00624AAA" w14:paraId="3EC63057" w14:textId="77777777">
        <w:tc>
          <w:tcPr>
            <w:tcW w:w="1416" w:type="dxa"/>
            <w:tcBorders>
              <w:top w:val="nil"/>
              <w:left w:val="nil"/>
              <w:bottom w:val="nil"/>
              <w:right w:val="nil"/>
              <w:tl2br w:val="nil"/>
              <w:tr2bl w:val="nil"/>
            </w:tcBorders>
            <w:shd w:val="clear" w:color="auto" w:fill="FFFFFF"/>
          </w:tcPr>
          <w:p w14:paraId="0B2A5E2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CENSU</w:t>
            </w:r>
          </w:p>
        </w:tc>
        <w:tc>
          <w:tcPr>
            <w:tcW w:w="1296" w:type="dxa"/>
            <w:tcBorders>
              <w:top w:val="nil"/>
              <w:left w:val="nil"/>
              <w:bottom w:val="nil"/>
              <w:right w:val="nil"/>
              <w:tl2br w:val="nil"/>
              <w:tr2bl w:val="nil"/>
            </w:tcBorders>
            <w:shd w:val="clear" w:color="auto" w:fill="FFFFFF"/>
          </w:tcPr>
          <w:p w14:paraId="736BB1E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05949E5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29.059</w:t>
            </w:r>
          </w:p>
        </w:tc>
        <w:tc>
          <w:tcPr>
            <w:tcW w:w="1296" w:type="dxa"/>
            <w:tcBorders>
              <w:top w:val="nil"/>
              <w:left w:val="nil"/>
              <w:bottom w:val="nil"/>
              <w:right w:val="nil"/>
              <w:tl2br w:val="nil"/>
              <w:tr2bl w:val="nil"/>
            </w:tcBorders>
            <w:shd w:val="clear" w:color="auto" w:fill="FFFFFF"/>
          </w:tcPr>
          <w:p w14:paraId="318A7AA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15.759</w:t>
            </w:r>
          </w:p>
        </w:tc>
        <w:tc>
          <w:tcPr>
            <w:tcW w:w="1296" w:type="dxa"/>
            <w:tcBorders>
              <w:top w:val="nil"/>
              <w:left w:val="nil"/>
              <w:bottom w:val="nil"/>
              <w:right w:val="nil"/>
              <w:tl2br w:val="nil"/>
              <w:tr2bl w:val="nil"/>
            </w:tcBorders>
            <w:shd w:val="clear" w:color="auto" w:fill="FFFFFF"/>
          </w:tcPr>
          <w:p w14:paraId="288FD10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1.270</w:t>
            </w:r>
          </w:p>
        </w:tc>
        <w:tc>
          <w:tcPr>
            <w:tcW w:w="1296" w:type="dxa"/>
            <w:tcBorders>
              <w:top w:val="nil"/>
              <w:left w:val="nil"/>
              <w:bottom w:val="nil"/>
              <w:right w:val="nil"/>
              <w:tl2br w:val="nil"/>
              <w:tr2bl w:val="nil"/>
            </w:tcBorders>
            <w:shd w:val="clear" w:color="auto" w:fill="FFFFFF"/>
          </w:tcPr>
          <w:p w14:paraId="3052BF2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26.740</w:t>
            </w:r>
          </w:p>
        </w:tc>
        <w:tc>
          <w:tcPr>
            <w:tcW w:w="1296" w:type="dxa"/>
            <w:tcBorders>
              <w:top w:val="nil"/>
              <w:left w:val="nil"/>
              <w:bottom w:val="nil"/>
              <w:right w:val="nil"/>
              <w:tl2br w:val="nil"/>
              <w:tr2bl w:val="nil"/>
            </w:tcBorders>
            <w:shd w:val="clear" w:color="auto" w:fill="FFFFFF"/>
          </w:tcPr>
          <w:p w14:paraId="717C0B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78.910</w:t>
            </w:r>
          </w:p>
        </w:tc>
      </w:tr>
      <w:tr w:rsidR="00624AAA" w14:paraId="5059D14C" w14:textId="77777777">
        <w:tc>
          <w:tcPr>
            <w:tcW w:w="1416" w:type="dxa"/>
            <w:tcBorders>
              <w:top w:val="nil"/>
              <w:left w:val="nil"/>
              <w:bottom w:val="nil"/>
              <w:right w:val="nil"/>
              <w:tl2br w:val="nil"/>
              <w:tr2bl w:val="nil"/>
            </w:tcBorders>
            <w:shd w:val="clear" w:color="auto" w:fill="FFFFFF"/>
          </w:tcPr>
          <w:p w14:paraId="543955D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SUC</w:t>
            </w:r>
          </w:p>
        </w:tc>
        <w:tc>
          <w:tcPr>
            <w:tcW w:w="1296" w:type="dxa"/>
            <w:tcBorders>
              <w:top w:val="nil"/>
              <w:left w:val="nil"/>
              <w:bottom w:val="nil"/>
              <w:right w:val="nil"/>
              <w:tl2br w:val="nil"/>
              <w:tr2bl w:val="nil"/>
            </w:tcBorders>
            <w:shd w:val="clear" w:color="auto" w:fill="FFFFFF"/>
          </w:tcPr>
          <w:p w14:paraId="369F09F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0E4D77E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0.061</w:t>
            </w:r>
          </w:p>
        </w:tc>
        <w:tc>
          <w:tcPr>
            <w:tcW w:w="1296" w:type="dxa"/>
            <w:tcBorders>
              <w:top w:val="nil"/>
              <w:left w:val="nil"/>
              <w:bottom w:val="nil"/>
              <w:right w:val="nil"/>
              <w:tl2br w:val="nil"/>
              <w:tr2bl w:val="nil"/>
            </w:tcBorders>
            <w:shd w:val="clear" w:color="auto" w:fill="FFFFFF"/>
          </w:tcPr>
          <w:p w14:paraId="4CFCF35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0.240</w:t>
            </w:r>
          </w:p>
        </w:tc>
        <w:tc>
          <w:tcPr>
            <w:tcW w:w="1296" w:type="dxa"/>
            <w:tcBorders>
              <w:top w:val="nil"/>
              <w:left w:val="nil"/>
              <w:bottom w:val="nil"/>
              <w:right w:val="nil"/>
              <w:tl2br w:val="nil"/>
              <w:tr2bl w:val="nil"/>
            </w:tcBorders>
            <w:shd w:val="clear" w:color="auto" w:fill="FFFFFF"/>
          </w:tcPr>
          <w:p w14:paraId="1F0F389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25FA4A8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0E0AD35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w:t>
            </w:r>
          </w:p>
        </w:tc>
      </w:tr>
      <w:tr w:rsidR="00624AAA" w14:paraId="22C5AF6E" w14:textId="77777777">
        <w:tc>
          <w:tcPr>
            <w:tcW w:w="1416" w:type="dxa"/>
            <w:tcBorders>
              <w:top w:val="nil"/>
              <w:left w:val="nil"/>
              <w:bottom w:val="nil"/>
              <w:right w:val="nil"/>
              <w:tl2br w:val="nil"/>
              <w:tr2bl w:val="nil"/>
            </w:tcBorders>
            <w:shd w:val="clear" w:color="auto" w:fill="FFFFFF"/>
          </w:tcPr>
          <w:p w14:paraId="20BF28A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APT</w:t>
            </w:r>
          </w:p>
        </w:tc>
        <w:tc>
          <w:tcPr>
            <w:tcW w:w="1296" w:type="dxa"/>
            <w:tcBorders>
              <w:top w:val="nil"/>
              <w:left w:val="nil"/>
              <w:bottom w:val="nil"/>
              <w:right w:val="nil"/>
              <w:tl2br w:val="nil"/>
              <w:tr2bl w:val="nil"/>
            </w:tcBorders>
            <w:shd w:val="clear" w:color="auto" w:fill="FFFFFF"/>
          </w:tcPr>
          <w:p w14:paraId="6087528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4276DAC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1.433</w:t>
            </w:r>
          </w:p>
        </w:tc>
        <w:tc>
          <w:tcPr>
            <w:tcW w:w="1296" w:type="dxa"/>
            <w:tcBorders>
              <w:top w:val="nil"/>
              <w:left w:val="nil"/>
              <w:bottom w:val="nil"/>
              <w:right w:val="nil"/>
              <w:tl2br w:val="nil"/>
              <w:tr2bl w:val="nil"/>
            </w:tcBorders>
            <w:shd w:val="clear" w:color="auto" w:fill="FFFFFF"/>
          </w:tcPr>
          <w:p w14:paraId="64B462F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1.860</w:t>
            </w:r>
          </w:p>
        </w:tc>
        <w:tc>
          <w:tcPr>
            <w:tcW w:w="1296" w:type="dxa"/>
            <w:tcBorders>
              <w:top w:val="nil"/>
              <w:left w:val="nil"/>
              <w:bottom w:val="nil"/>
              <w:right w:val="nil"/>
              <w:tl2br w:val="nil"/>
              <w:tr2bl w:val="nil"/>
            </w:tcBorders>
            <w:shd w:val="clear" w:color="auto" w:fill="FFFFFF"/>
          </w:tcPr>
          <w:p w14:paraId="77460AB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55166FB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0.953</w:t>
            </w:r>
          </w:p>
        </w:tc>
        <w:tc>
          <w:tcPr>
            <w:tcW w:w="1296" w:type="dxa"/>
            <w:tcBorders>
              <w:top w:val="nil"/>
              <w:left w:val="nil"/>
              <w:bottom w:val="nil"/>
              <w:right w:val="nil"/>
              <w:tl2br w:val="nil"/>
              <w:tr2bl w:val="nil"/>
            </w:tcBorders>
            <w:shd w:val="clear" w:color="auto" w:fill="FFFFFF"/>
          </w:tcPr>
          <w:p w14:paraId="58C899E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16.699</w:t>
            </w:r>
          </w:p>
        </w:tc>
      </w:tr>
      <w:tr w:rsidR="00624AAA" w14:paraId="17FE4585" w14:textId="77777777">
        <w:tc>
          <w:tcPr>
            <w:tcW w:w="1416" w:type="dxa"/>
            <w:tcBorders>
              <w:top w:val="nil"/>
              <w:left w:val="nil"/>
              <w:bottom w:val="nil"/>
              <w:right w:val="nil"/>
              <w:tl2br w:val="nil"/>
              <w:tr2bl w:val="nil"/>
            </w:tcBorders>
            <w:shd w:val="clear" w:color="auto" w:fill="FFFFFF"/>
          </w:tcPr>
          <w:p w14:paraId="14E7C76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ART</w:t>
            </w:r>
          </w:p>
        </w:tc>
        <w:tc>
          <w:tcPr>
            <w:tcW w:w="1296" w:type="dxa"/>
            <w:tcBorders>
              <w:top w:val="nil"/>
              <w:left w:val="nil"/>
              <w:bottom w:val="nil"/>
              <w:right w:val="nil"/>
              <w:tl2br w:val="nil"/>
              <w:tr2bl w:val="nil"/>
            </w:tcBorders>
            <w:shd w:val="clear" w:color="auto" w:fill="FFFFFF"/>
          </w:tcPr>
          <w:p w14:paraId="1AD8CBD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0A10339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3.162</w:t>
            </w:r>
          </w:p>
        </w:tc>
        <w:tc>
          <w:tcPr>
            <w:tcW w:w="1296" w:type="dxa"/>
            <w:tcBorders>
              <w:top w:val="nil"/>
              <w:left w:val="nil"/>
              <w:bottom w:val="nil"/>
              <w:right w:val="nil"/>
              <w:tl2br w:val="nil"/>
              <w:tr2bl w:val="nil"/>
            </w:tcBorders>
            <w:shd w:val="clear" w:color="auto" w:fill="FFFFFF"/>
          </w:tcPr>
          <w:p w14:paraId="2A98352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8.605</w:t>
            </w:r>
          </w:p>
        </w:tc>
        <w:tc>
          <w:tcPr>
            <w:tcW w:w="1296" w:type="dxa"/>
            <w:tcBorders>
              <w:top w:val="nil"/>
              <w:left w:val="nil"/>
              <w:bottom w:val="nil"/>
              <w:right w:val="nil"/>
              <w:tl2br w:val="nil"/>
              <w:tr2bl w:val="nil"/>
            </w:tcBorders>
            <w:shd w:val="clear" w:color="auto" w:fill="FFFFFF"/>
          </w:tcPr>
          <w:p w14:paraId="2C3CA27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2D32768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1.021</w:t>
            </w:r>
          </w:p>
        </w:tc>
        <w:tc>
          <w:tcPr>
            <w:tcW w:w="1296" w:type="dxa"/>
            <w:tcBorders>
              <w:top w:val="nil"/>
              <w:left w:val="nil"/>
              <w:bottom w:val="nil"/>
              <w:right w:val="nil"/>
              <w:tl2br w:val="nil"/>
              <w:tr2bl w:val="nil"/>
            </w:tcBorders>
            <w:shd w:val="clear" w:color="auto" w:fill="FFFFFF"/>
          </w:tcPr>
          <w:p w14:paraId="03F98F6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92.287</w:t>
            </w:r>
          </w:p>
        </w:tc>
      </w:tr>
      <w:tr w:rsidR="00624AAA" w14:paraId="5CAAAF71" w14:textId="77777777">
        <w:tc>
          <w:tcPr>
            <w:tcW w:w="1416" w:type="dxa"/>
            <w:tcBorders>
              <w:top w:val="nil"/>
              <w:left w:val="nil"/>
              <w:bottom w:val="nil"/>
              <w:right w:val="nil"/>
              <w:tl2br w:val="nil"/>
              <w:tr2bl w:val="nil"/>
            </w:tcBorders>
            <w:shd w:val="clear" w:color="auto" w:fill="FFFFFF"/>
          </w:tcPr>
          <w:p w14:paraId="10BDCB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SOE</w:t>
            </w:r>
          </w:p>
        </w:tc>
        <w:tc>
          <w:tcPr>
            <w:tcW w:w="1296" w:type="dxa"/>
            <w:tcBorders>
              <w:top w:val="nil"/>
              <w:left w:val="nil"/>
              <w:bottom w:val="nil"/>
              <w:right w:val="nil"/>
              <w:tl2br w:val="nil"/>
              <w:tr2bl w:val="nil"/>
            </w:tcBorders>
            <w:shd w:val="clear" w:color="auto" w:fill="FFFFFF"/>
          </w:tcPr>
          <w:p w14:paraId="5C357CB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0AFF4D2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0.345</w:t>
            </w:r>
          </w:p>
        </w:tc>
        <w:tc>
          <w:tcPr>
            <w:tcW w:w="1296" w:type="dxa"/>
            <w:tcBorders>
              <w:top w:val="nil"/>
              <w:left w:val="nil"/>
              <w:bottom w:val="nil"/>
              <w:right w:val="nil"/>
              <w:tl2br w:val="nil"/>
              <w:tr2bl w:val="nil"/>
            </w:tcBorders>
            <w:shd w:val="clear" w:color="auto" w:fill="FFFFFF"/>
          </w:tcPr>
          <w:p w14:paraId="7F40B47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0.475</w:t>
            </w:r>
          </w:p>
        </w:tc>
        <w:tc>
          <w:tcPr>
            <w:tcW w:w="1296" w:type="dxa"/>
            <w:tcBorders>
              <w:top w:val="nil"/>
              <w:left w:val="nil"/>
              <w:bottom w:val="nil"/>
              <w:right w:val="nil"/>
              <w:tl2br w:val="nil"/>
              <w:tr2bl w:val="nil"/>
            </w:tcBorders>
            <w:shd w:val="clear" w:color="auto" w:fill="FFFFFF"/>
          </w:tcPr>
          <w:p w14:paraId="7058933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1113CE2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3FD800F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w:t>
            </w:r>
          </w:p>
        </w:tc>
      </w:tr>
      <w:tr w:rsidR="00624AAA" w14:paraId="4E029CF6" w14:textId="77777777">
        <w:tc>
          <w:tcPr>
            <w:tcW w:w="1416" w:type="dxa"/>
            <w:tcBorders>
              <w:top w:val="nil"/>
              <w:left w:val="nil"/>
              <w:bottom w:val="nil"/>
              <w:right w:val="nil"/>
              <w:tl2br w:val="nil"/>
              <w:tr2bl w:val="nil"/>
            </w:tcBorders>
            <w:shd w:val="clear" w:color="auto" w:fill="FFFFFF"/>
          </w:tcPr>
          <w:p w14:paraId="1B19717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Size</w:t>
            </w:r>
          </w:p>
        </w:tc>
        <w:tc>
          <w:tcPr>
            <w:tcW w:w="1296" w:type="dxa"/>
            <w:tcBorders>
              <w:top w:val="nil"/>
              <w:left w:val="nil"/>
              <w:bottom w:val="nil"/>
              <w:right w:val="nil"/>
              <w:tl2br w:val="nil"/>
              <w:tr2bl w:val="nil"/>
            </w:tcBorders>
            <w:shd w:val="clear" w:color="auto" w:fill="FFFFFF"/>
          </w:tcPr>
          <w:p w14:paraId="3A22E64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67E8276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22.330</w:t>
            </w:r>
          </w:p>
        </w:tc>
        <w:tc>
          <w:tcPr>
            <w:tcW w:w="1296" w:type="dxa"/>
            <w:tcBorders>
              <w:top w:val="nil"/>
              <w:left w:val="nil"/>
              <w:bottom w:val="nil"/>
              <w:right w:val="nil"/>
              <w:tl2br w:val="nil"/>
              <w:tr2bl w:val="nil"/>
            </w:tcBorders>
            <w:shd w:val="clear" w:color="auto" w:fill="FFFFFF"/>
          </w:tcPr>
          <w:p w14:paraId="503C617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1.310</w:t>
            </w:r>
          </w:p>
        </w:tc>
        <w:tc>
          <w:tcPr>
            <w:tcW w:w="1296" w:type="dxa"/>
            <w:tcBorders>
              <w:top w:val="nil"/>
              <w:left w:val="nil"/>
              <w:bottom w:val="nil"/>
              <w:right w:val="nil"/>
              <w:tl2br w:val="nil"/>
              <w:tr2bl w:val="nil"/>
            </w:tcBorders>
            <w:shd w:val="clear" w:color="auto" w:fill="FFFFFF"/>
          </w:tcPr>
          <w:p w14:paraId="37735A1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19.790</w:t>
            </w:r>
          </w:p>
        </w:tc>
        <w:tc>
          <w:tcPr>
            <w:tcW w:w="1296" w:type="dxa"/>
            <w:tcBorders>
              <w:top w:val="nil"/>
              <w:left w:val="nil"/>
              <w:bottom w:val="nil"/>
              <w:right w:val="nil"/>
              <w:tl2br w:val="nil"/>
              <w:tr2bl w:val="nil"/>
            </w:tcBorders>
            <w:shd w:val="clear" w:color="auto" w:fill="FFFFFF"/>
          </w:tcPr>
          <w:p w14:paraId="5F54BC2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22.113</w:t>
            </w:r>
          </w:p>
        </w:tc>
        <w:tc>
          <w:tcPr>
            <w:tcW w:w="1296" w:type="dxa"/>
            <w:tcBorders>
              <w:top w:val="nil"/>
              <w:left w:val="nil"/>
              <w:bottom w:val="nil"/>
              <w:right w:val="nil"/>
              <w:tl2br w:val="nil"/>
              <w:tr2bl w:val="nil"/>
            </w:tcBorders>
            <w:shd w:val="clear" w:color="auto" w:fill="FFFFFF"/>
          </w:tcPr>
          <w:p w14:paraId="50C26DF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26.832</w:t>
            </w:r>
          </w:p>
        </w:tc>
      </w:tr>
      <w:tr w:rsidR="00624AAA" w14:paraId="102A1928" w14:textId="77777777">
        <w:tc>
          <w:tcPr>
            <w:tcW w:w="1416" w:type="dxa"/>
            <w:tcBorders>
              <w:top w:val="nil"/>
              <w:left w:val="nil"/>
              <w:bottom w:val="nil"/>
              <w:right w:val="nil"/>
              <w:tl2br w:val="nil"/>
              <w:tr2bl w:val="nil"/>
            </w:tcBorders>
            <w:shd w:val="clear" w:color="auto" w:fill="FFFFFF"/>
          </w:tcPr>
          <w:p w14:paraId="554C749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Lev</w:t>
            </w:r>
          </w:p>
        </w:tc>
        <w:tc>
          <w:tcPr>
            <w:tcW w:w="1296" w:type="dxa"/>
            <w:tcBorders>
              <w:top w:val="nil"/>
              <w:left w:val="nil"/>
              <w:bottom w:val="nil"/>
              <w:right w:val="nil"/>
              <w:tl2br w:val="nil"/>
              <w:tr2bl w:val="nil"/>
            </w:tcBorders>
            <w:shd w:val="clear" w:color="auto" w:fill="FFFFFF"/>
          </w:tcPr>
          <w:p w14:paraId="71219BE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3167891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0.427</w:t>
            </w:r>
          </w:p>
        </w:tc>
        <w:tc>
          <w:tcPr>
            <w:tcW w:w="1296" w:type="dxa"/>
            <w:tcBorders>
              <w:top w:val="nil"/>
              <w:left w:val="nil"/>
              <w:bottom w:val="nil"/>
              <w:right w:val="nil"/>
              <w:tl2br w:val="nil"/>
              <w:tr2bl w:val="nil"/>
            </w:tcBorders>
            <w:shd w:val="clear" w:color="auto" w:fill="FFFFFF"/>
          </w:tcPr>
          <w:p w14:paraId="6C0442C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0.200</w:t>
            </w:r>
          </w:p>
        </w:tc>
        <w:tc>
          <w:tcPr>
            <w:tcW w:w="1296" w:type="dxa"/>
            <w:tcBorders>
              <w:top w:val="nil"/>
              <w:left w:val="nil"/>
              <w:bottom w:val="nil"/>
              <w:right w:val="nil"/>
              <w:tl2br w:val="nil"/>
              <w:tr2bl w:val="nil"/>
            </w:tcBorders>
            <w:shd w:val="clear" w:color="auto" w:fill="FFFFFF"/>
          </w:tcPr>
          <w:p w14:paraId="7A81AD7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0.033</w:t>
            </w:r>
          </w:p>
        </w:tc>
        <w:tc>
          <w:tcPr>
            <w:tcW w:w="1296" w:type="dxa"/>
            <w:tcBorders>
              <w:top w:val="nil"/>
              <w:left w:val="nil"/>
              <w:bottom w:val="nil"/>
              <w:right w:val="nil"/>
              <w:tl2br w:val="nil"/>
              <w:tr2bl w:val="nil"/>
            </w:tcBorders>
            <w:shd w:val="clear" w:color="auto" w:fill="FFFFFF"/>
          </w:tcPr>
          <w:p w14:paraId="5BE7C54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0.421</w:t>
            </w:r>
          </w:p>
        </w:tc>
        <w:tc>
          <w:tcPr>
            <w:tcW w:w="1296" w:type="dxa"/>
            <w:tcBorders>
              <w:top w:val="nil"/>
              <w:left w:val="nil"/>
              <w:bottom w:val="nil"/>
              <w:right w:val="nil"/>
              <w:tl2br w:val="nil"/>
              <w:tr2bl w:val="nil"/>
            </w:tcBorders>
            <w:shd w:val="clear" w:color="auto" w:fill="FFFFFF"/>
          </w:tcPr>
          <w:p w14:paraId="65873C8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0.944</w:t>
            </w:r>
          </w:p>
        </w:tc>
      </w:tr>
      <w:tr w:rsidR="00624AAA" w14:paraId="79D0A521" w14:textId="77777777">
        <w:tc>
          <w:tcPr>
            <w:tcW w:w="1416" w:type="dxa"/>
            <w:tcBorders>
              <w:top w:val="nil"/>
              <w:left w:val="nil"/>
              <w:bottom w:val="nil"/>
              <w:right w:val="nil"/>
              <w:tl2br w:val="nil"/>
              <w:tr2bl w:val="nil"/>
            </w:tcBorders>
            <w:shd w:val="clear" w:color="auto" w:fill="FFFFFF"/>
          </w:tcPr>
          <w:p w14:paraId="3A13CEA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Board</w:t>
            </w:r>
          </w:p>
        </w:tc>
        <w:tc>
          <w:tcPr>
            <w:tcW w:w="1296" w:type="dxa"/>
            <w:tcBorders>
              <w:top w:val="nil"/>
              <w:left w:val="nil"/>
              <w:bottom w:val="nil"/>
              <w:right w:val="nil"/>
              <w:tl2br w:val="nil"/>
              <w:tr2bl w:val="nil"/>
            </w:tcBorders>
            <w:shd w:val="clear" w:color="auto" w:fill="FFFFFF"/>
          </w:tcPr>
          <w:p w14:paraId="24EB9C3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7DD4784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2.130</w:t>
            </w:r>
          </w:p>
        </w:tc>
        <w:tc>
          <w:tcPr>
            <w:tcW w:w="1296" w:type="dxa"/>
            <w:tcBorders>
              <w:top w:val="nil"/>
              <w:left w:val="nil"/>
              <w:bottom w:val="nil"/>
              <w:right w:val="nil"/>
              <w:tl2br w:val="nil"/>
              <w:tr2bl w:val="nil"/>
            </w:tcBorders>
            <w:shd w:val="clear" w:color="auto" w:fill="FFFFFF"/>
          </w:tcPr>
          <w:p w14:paraId="5B17A35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0.197</w:t>
            </w:r>
          </w:p>
        </w:tc>
        <w:tc>
          <w:tcPr>
            <w:tcW w:w="1296" w:type="dxa"/>
            <w:tcBorders>
              <w:top w:val="nil"/>
              <w:left w:val="nil"/>
              <w:bottom w:val="nil"/>
              <w:right w:val="nil"/>
              <w:tl2br w:val="nil"/>
              <w:tr2bl w:val="nil"/>
            </w:tcBorders>
            <w:shd w:val="clear" w:color="auto" w:fill="FFFFFF"/>
          </w:tcPr>
          <w:p w14:paraId="34E1651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1.609</w:t>
            </w:r>
          </w:p>
        </w:tc>
        <w:tc>
          <w:tcPr>
            <w:tcW w:w="1296" w:type="dxa"/>
            <w:tcBorders>
              <w:top w:val="nil"/>
              <w:left w:val="nil"/>
              <w:bottom w:val="nil"/>
              <w:right w:val="nil"/>
              <w:tl2br w:val="nil"/>
              <w:tr2bl w:val="nil"/>
            </w:tcBorders>
            <w:shd w:val="clear" w:color="auto" w:fill="FFFFFF"/>
          </w:tcPr>
          <w:p w14:paraId="45F1120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2.197</w:t>
            </w:r>
          </w:p>
        </w:tc>
        <w:tc>
          <w:tcPr>
            <w:tcW w:w="1296" w:type="dxa"/>
            <w:tcBorders>
              <w:top w:val="nil"/>
              <w:left w:val="nil"/>
              <w:bottom w:val="nil"/>
              <w:right w:val="nil"/>
              <w:tl2br w:val="nil"/>
              <w:tr2bl w:val="nil"/>
            </w:tcBorders>
            <w:shd w:val="clear" w:color="auto" w:fill="FFFFFF"/>
          </w:tcPr>
          <w:p w14:paraId="4C4E7AF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2.708</w:t>
            </w:r>
          </w:p>
        </w:tc>
      </w:tr>
      <w:tr w:rsidR="00624AAA" w14:paraId="364F0831" w14:textId="77777777">
        <w:tc>
          <w:tcPr>
            <w:tcW w:w="1416" w:type="dxa"/>
            <w:tcBorders>
              <w:top w:val="nil"/>
              <w:left w:val="nil"/>
              <w:bottom w:val="nil"/>
              <w:right w:val="nil"/>
              <w:tl2br w:val="nil"/>
              <w:tr2bl w:val="nil"/>
            </w:tcBorders>
            <w:shd w:val="clear" w:color="auto" w:fill="FFFFFF"/>
          </w:tcPr>
          <w:p w14:paraId="545BDAC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Indep</w:t>
            </w:r>
            <w:proofErr w:type="spellEnd"/>
          </w:p>
        </w:tc>
        <w:tc>
          <w:tcPr>
            <w:tcW w:w="1296" w:type="dxa"/>
            <w:tcBorders>
              <w:top w:val="nil"/>
              <w:left w:val="nil"/>
              <w:bottom w:val="nil"/>
              <w:right w:val="nil"/>
              <w:tl2br w:val="nil"/>
              <w:tr2bl w:val="nil"/>
            </w:tcBorders>
            <w:shd w:val="clear" w:color="auto" w:fill="FFFFFF"/>
          </w:tcPr>
          <w:p w14:paraId="62E5AF0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2078A77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37.607</w:t>
            </w:r>
          </w:p>
        </w:tc>
        <w:tc>
          <w:tcPr>
            <w:tcW w:w="1296" w:type="dxa"/>
            <w:tcBorders>
              <w:top w:val="nil"/>
              <w:left w:val="nil"/>
              <w:bottom w:val="nil"/>
              <w:right w:val="nil"/>
              <w:tl2br w:val="nil"/>
              <w:tr2bl w:val="nil"/>
            </w:tcBorders>
            <w:shd w:val="clear" w:color="auto" w:fill="FFFFFF"/>
          </w:tcPr>
          <w:p w14:paraId="4FBD46B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5.471</w:t>
            </w:r>
          </w:p>
        </w:tc>
        <w:tc>
          <w:tcPr>
            <w:tcW w:w="1296" w:type="dxa"/>
            <w:tcBorders>
              <w:top w:val="nil"/>
              <w:left w:val="nil"/>
              <w:bottom w:val="nil"/>
              <w:right w:val="nil"/>
              <w:tl2br w:val="nil"/>
              <w:tr2bl w:val="nil"/>
            </w:tcBorders>
            <w:shd w:val="clear" w:color="auto" w:fill="FFFFFF"/>
          </w:tcPr>
          <w:p w14:paraId="2B4F979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27.270</w:t>
            </w:r>
          </w:p>
        </w:tc>
        <w:tc>
          <w:tcPr>
            <w:tcW w:w="1296" w:type="dxa"/>
            <w:tcBorders>
              <w:top w:val="nil"/>
              <w:left w:val="nil"/>
              <w:bottom w:val="nil"/>
              <w:right w:val="nil"/>
              <w:tl2br w:val="nil"/>
              <w:tr2bl w:val="nil"/>
            </w:tcBorders>
            <w:shd w:val="clear" w:color="auto" w:fill="FFFFFF"/>
          </w:tcPr>
          <w:p w14:paraId="2776D73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35.710</w:t>
            </w:r>
          </w:p>
        </w:tc>
        <w:tc>
          <w:tcPr>
            <w:tcW w:w="1296" w:type="dxa"/>
            <w:tcBorders>
              <w:top w:val="nil"/>
              <w:left w:val="nil"/>
              <w:bottom w:val="nil"/>
              <w:right w:val="nil"/>
              <w:tl2br w:val="nil"/>
              <w:tr2bl w:val="nil"/>
            </w:tcBorders>
            <w:shd w:val="clear" w:color="auto" w:fill="FFFFFF"/>
          </w:tcPr>
          <w:p w14:paraId="152B39A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60.000</w:t>
            </w:r>
          </w:p>
        </w:tc>
      </w:tr>
      <w:tr w:rsidR="00624AAA" w14:paraId="780A8479" w14:textId="77777777">
        <w:tc>
          <w:tcPr>
            <w:tcW w:w="1416" w:type="dxa"/>
            <w:tcBorders>
              <w:top w:val="nil"/>
              <w:left w:val="nil"/>
              <w:bottom w:val="nil"/>
              <w:right w:val="nil"/>
              <w:tl2br w:val="nil"/>
              <w:tr2bl w:val="nil"/>
            </w:tcBorders>
            <w:shd w:val="clear" w:color="auto" w:fill="FFFFFF"/>
          </w:tcPr>
          <w:p w14:paraId="10FA21C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Dual</w:t>
            </w:r>
          </w:p>
        </w:tc>
        <w:tc>
          <w:tcPr>
            <w:tcW w:w="1296" w:type="dxa"/>
            <w:tcBorders>
              <w:top w:val="nil"/>
              <w:left w:val="nil"/>
              <w:bottom w:val="nil"/>
              <w:right w:val="nil"/>
              <w:tl2br w:val="nil"/>
              <w:tr2bl w:val="nil"/>
            </w:tcBorders>
            <w:shd w:val="clear" w:color="auto" w:fill="FFFFFF"/>
          </w:tcPr>
          <w:p w14:paraId="66EFCC2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1877D8B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0.283</w:t>
            </w:r>
          </w:p>
        </w:tc>
        <w:tc>
          <w:tcPr>
            <w:tcW w:w="1296" w:type="dxa"/>
            <w:tcBorders>
              <w:top w:val="nil"/>
              <w:left w:val="nil"/>
              <w:bottom w:val="nil"/>
              <w:right w:val="nil"/>
              <w:tl2br w:val="nil"/>
              <w:tr2bl w:val="nil"/>
            </w:tcBorders>
            <w:shd w:val="clear" w:color="auto" w:fill="FFFFFF"/>
          </w:tcPr>
          <w:p w14:paraId="48C201E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0.450</w:t>
            </w:r>
          </w:p>
        </w:tc>
        <w:tc>
          <w:tcPr>
            <w:tcW w:w="1296" w:type="dxa"/>
            <w:tcBorders>
              <w:top w:val="nil"/>
              <w:left w:val="nil"/>
              <w:bottom w:val="nil"/>
              <w:right w:val="nil"/>
              <w:tl2br w:val="nil"/>
              <w:tr2bl w:val="nil"/>
            </w:tcBorders>
            <w:shd w:val="clear" w:color="auto" w:fill="FFFFFF"/>
          </w:tcPr>
          <w:p w14:paraId="55CFECC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24BC9EA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731E9A1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w:t>
            </w:r>
          </w:p>
        </w:tc>
      </w:tr>
      <w:tr w:rsidR="00624AAA" w14:paraId="48DE7D4F" w14:textId="77777777">
        <w:tc>
          <w:tcPr>
            <w:tcW w:w="1416" w:type="dxa"/>
            <w:tcBorders>
              <w:top w:val="nil"/>
              <w:left w:val="nil"/>
              <w:bottom w:val="nil"/>
              <w:right w:val="nil"/>
              <w:tl2br w:val="nil"/>
              <w:tr2bl w:val="nil"/>
            </w:tcBorders>
            <w:shd w:val="clear" w:color="auto" w:fill="FFFFFF"/>
          </w:tcPr>
          <w:p w14:paraId="46891C9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TMTPay1</w:t>
            </w:r>
          </w:p>
        </w:tc>
        <w:tc>
          <w:tcPr>
            <w:tcW w:w="1296" w:type="dxa"/>
            <w:tcBorders>
              <w:top w:val="nil"/>
              <w:left w:val="nil"/>
              <w:bottom w:val="nil"/>
              <w:right w:val="nil"/>
              <w:tl2br w:val="nil"/>
              <w:tr2bl w:val="nil"/>
            </w:tcBorders>
            <w:shd w:val="clear" w:color="auto" w:fill="FFFFFF"/>
          </w:tcPr>
          <w:p w14:paraId="151B29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4E14AA8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14.556</w:t>
            </w:r>
          </w:p>
        </w:tc>
        <w:tc>
          <w:tcPr>
            <w:tcW w:w="1296" w:type="dxa"/>
            <w:tcBorders>
              <w:top w:val="nil"/>
              <w:left w:val="nil"/>
              <w:bottom w:val="nil"/>
              <w:right w:val="nil"/>
              <w:tl2br w:val="nil"/>
              <w:tr2bl w:val="nil"/>
            </w:tcBorders>
            <w:shd w:val="clear" w:color="auto" w:fill="FFFFFF"/>
          </w:tcPr>
          <w:p w14:paraId="09DF0DB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0.704</w:t>
            </w:r>
          </w:p>
        </w:tc>
        <w:tc>
          <w:tcPr>
            <w:tcW w:w="1296" w:type="dxa"/>
            <w:tcBorders>
              <w:top w:val="nil"/>
              <w:left w:val="nil"/>
              <w:bottom w:val="nil"/>
              <w:right w:val="nil"/>
              <w:tl2br w:val="nil"/>
              <w:tr2bl w:val="nil"/>
            </w:tcBorders>
            <w:shd w:val="clear" w:color="auto" w:fill="FFFFFF"/>
          </w:tcPr>
          <w:p w14:paraId="4D1E8F1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12.067</w:t>
            </w:r>
          </w:p>
        </w:tc>
        <w:tc>
          <w:tcPr>
            <w:tcW w:w="1296" w:type="dxa"/>
            <w:tcBorders>
              <w:top w:val="nil"/>
              <w:left w:val="nil"/>
              <w:bottom w:val="nil"/>
              <w:right w:val="nil"/>
              <w:tl2br w:val="nil"/>
              <w:tr2bl w:val="nil"/>
            </w:tcBorders>
            <w:shd w:val="clear" w:color="auto" w:fill="FFFFFF"/>
          </w:tcPr>
          <w:p w14:paraId="2864E64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14.523</w:t>
            </w:r>
          </w:p>
        </w:tc>
        <w:tc>
          <w:tcPr>
            <w:tcW w:w="1296" w:type="dxa"/>
            <w:tcBorders>
              <w:top w:val="nil"/>
              <w:left w:val="nil"/>
              <w:bottom w:val="nil"/>
              <w:right w:val="nil"/>
              <w:tl2br w:val="nil"/>
              <w:tr2bl w:val="nil"/>
            </w:tcBorders>
            <w:shd w:val="clear" w:color="auto" w:fill="FFFFFF"/>
          </w:tcPr>
          <w:p w14:paraId="41E3527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17.104</w:t>
            </w:r>
          </w:p>
        </w:tc>
      </w:tr>
      <w:tr w:rsidR="00624AAA" w14:paraId="52B7000A" w14:textId="77777777">
        <w:tc>
          <w:tcPr>
            <w:tcW w:w="1416" w:type="dxa"/>
            <w:tcBorders>
              <w:top w:val="nil"/>
              <w:left w:val="nil"/>
              <w:bottom w:val="nil"/>
              <w:right w:val="nil"/>
              <w:tl2br w:val="nil"/>
              <w:tr2bl w:val="nil"/>
            </w:tcBorders>
            <w:shd w:val="clear" w:color="auto" w:fill="FFFFFF"/>
          </w:tcPr>
          <w:p w14:paraId="1A7A2BC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Mshare</w:t>
            </w:r>
            <w:proofErr w:type="spellEnd"/>
          </w:p>
        </w:tc>
        <w:tc>
          <w:tcPr>
            <w:tcW w:w="1296" w:type="dxa"/>
            <w:tcBorders>
              <w:top w:val="nil"/>
              <w:left w:val="nil"/>
              <w:bottom w:val="nil"/>
              <w:right w:val="nil"/>
              <w:tl2br w:val="nil"/>
              <w:tr2bl w:val="nil"/>
            </w:tcBorders>
            <w:shd w:val="clear" w:color="auto" w:fill="FFFFFF"/>
          </w:tcPr>
          <w:p w14:paraId="5BED156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3159FFA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13.840</w:t>
            </w:r>
          </w:p>
        </w:tc>
        <w:tc>
          <w:tcPr>
            <w:tcW w:w="1296" w:type="dxa"/>
            <w:tcBorders>
              <w:top w:val="nil"/>
              <w:left w:val="nil"/>
              <w:bottom w:val="nil"/>
              <w:right w:val="nil"/>
              <w:tl2br w:val="nil"/>
              <w:tr2bl w:val="nil"/>
            </w:tcBorders>
            <w:shd w:val="clear" w:color="auto" w:fill="FFFFFF"/>
          </w:tcPr>
          <w:p w14:paraId="64B1AC9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19.390</w:t>
            </w:r>
          </w:p>
        </w:tc>
        <w:tc>
          <w:tcPr>
            <w:tcW w:w="1296" w:type="dxa"/>
            <w:tcBorders>
              <w:top w:val="nil"/>
              <w:left w:val="nil"/>
              <w:bottom w:val="nil"/>
              <w:right w:val="nil"/>
              <w:tl2br w:val="nil"/>
              <w:tr2bl w:val="nil"/>
            </w:tcBorders>
            <w:shd w:val="clear" w:color="auto" w:fill="FFFFFF"/>
          </w:tcPr>
          <w:p w14:paraId="0F361D0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2A04740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1.070</w:t>
            </w:r>
          </w:p>
        </w:tc>
        <w:tc>
          <w:tcPr>
            <w:tcW w:w="1296" w:type="dxa"/>
            <w:tcBorders>
              <w:top w:val="nil"/>
              <w:left w:val="nil"/>
              <w:bottom w:val="nil"/>
              <w:right w:val="nil"/>
              <w:tl2br w:val="nil"/>
              <w:tr2bl w:val="nil"/>
            </w:tcBorders>
            <w:shd w:val="clear" w:color="auto" w:fill="FFFFFF"/>
          </w:tcPr>
          <w:p w14:paraId="07E40C4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70.381</w:t>
            </w:r>
          </w:p>
        </w:tc>
      </w:tr>
      <w:tr w:rsidR="00624AAA" w14:paraId="7CCE8E69" w14:textId="77777777">
        <w:tc>
          <w:tcPr>
            <w:tcW w:w="1416" w:type="dxa"/>
            <w:tcBorders>
              <w:top w:val="nil"/>
              <w:left w:val="nil"/>
              <w:bottom w:val="nil"/>
              <w:right w:val="nil"/>
              <w:tl2br w:val="nil"/>
              <w:tr2bl w:val="nil"/>
            </w:tcBorders>
            <w:shd w:val="clear" w:color="auto" w:fill="FFFFFF"/>
          </w:tcPr>
          <w:p w14:paraId="5189651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Occupy</w:t>
            </w:r>
          </w:p>
        </w:tc>
        <w:tc>
          <w:tcPr>
            <w:tcW w:w="1296" w:type="dxa"/>
            <w:tcBorders>
              <w:top w:val="nil"/>
              <w:left w:val="nil"/>
              <w:bottom w:val="nil"/>
              <w:right w:val="nil"/>
              <w:tl2br w:val="nil"/>
              <w:tr2bl w:val="nil"/>
            </w:tcBorders>
            <w:shd w:val="clear" w:color="auto" w:fill="FFFFFF"/>
          </w:tcPr>
          <w:p w14:paraId="1EF7D49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nil"/>
              <w:right w:val="nil"/>
              <w:tl2br w:val="nil"/>
              <w:tr2bl w:val="nil"/>
            </w:tcBorders>
            <w:shd w:val="clear" w:color="auto" w:fill="FFFFFF"/>
          </w:tcPr>
          <w:p w14:paraId="24A33EE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0.014</w:t>
            </w:r>
          </w:p>
        </w:tc>
        <w:tc>
          <w:tcPr>
            <w:tcW w:w="1296" w:type="dxa"/>
            <w:tcBorders>
              <w:top w:val="nil"/>
              <w:left w:val="nil"/>
              <w:bottom w:val="nil"/>
              <w:right w:val="nil"/>
              <w:tl2br w:val="nil"/>
              <w:tr2bl w:val="nil"/>
            </w:tcBorders>
            <w:shd w:val="clear" w:color="auto" w:fill="FFFFFF"/>
          </w:tcPr>
          <w:p w14:paraId="25B2126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0.021</w:t>
            </w:r>
          </w:p>
        </w:tc>
        <w:tc>
          <w:tcPr>
            <w:tcW w:w="1296" w:type="dxa"/>
            <w:tcBorders>
              <w:top w:val="nil"/>
              <w:left w:val="nil"/>
              <w:bottom w:val="nil"/>
              <w:right w:val="nil"/>
              <w:tl2br w:val="nil"/>
              <w:tr2bl w:val="nil"/>
            </w:tcBorders>
            <w:shd w:val="clear" w:color="auto" w:fill="FFFFFF"/>
          </w:tcPr>
          <w:p w14:paraId="3B786FA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0.000</w:t>
            </w:r>
          </w:p>
        </w:tc>
        <w:tc>
          <w:tcPr>
            <w:tcW w:w="1296" w:type="dxa"/>
            <w:tcBorders>
              <w:top w:val="nil"/>
              <w:left w:val="nil"/>
              <w:bottom w:val="nil"/>
              <w:right w:val="nil"/>
              <w:tl2br w:val="nil"/>
              <w:tr2bl w:val="nil"/>
            </w:tcBorders>
            <w:shd w:val="clear" w:color="auto" w:fill="FFFFFF"/>
          </w:tcPr>
          <w:p w14:paraId="166128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0.008</w:t>
            </w:r>
          </w:p>
        </w:tc>
        <w:tc>
          <w:tcPr>
            <w:tcW w:w="1296" w:type="dxa"/>
            <w:tcBorders>
              <w:top w:val="nil"/>
              <w:left w:val="nil"/>
              <w:bottom w:val="nil"/>
              <w:right w:val="nil"/>
              <w:tl2br w:val="nil"/>
              <w:tr2bl w:val="nil"/>
            </w:tcBorders>
            <w:shd w:val="clear" w:color="auto" w:fill="FFFFFF"/>
          </w:tcPr>
          <w:p w14:paraId="285C6D0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0.179</w:t>
            </w:r>
          </w:p>
        </w:tc>
      </w:tr>
      <w:tr w:rsidR="00624AAA" w14:paraId="0E393B8D" w14:textId="77777777">
        <w:tc>
          <w:tcPr>
            <w:tcW w:w="1416" w:type="dxa"/>
            <w:tcBorders>
              <w:top w:val="nil"/>
              <w:left w:val="nil"/>
              <w:bottom w:val="single" w:sz="12" w:space="0" w:color="000000"/>
              <w:right w:val="nil"/>
              <w:tl2br w:val="nil"/>
              <w:tr2bl w:val="nil"/>
            </w:tcBorders>
            <w:shd w:val="clear" w:color="auto" w:fill="FFFFFF"/>
          </w:tcPr>
          <w:p w14:paraId="1B3A44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FirmAge</w:t>
            </w:r>
            <w:proofErr w:type="spellEnd"/>
          </w:p>
        </w:tc>
        <w:tc>
          <w:tcPr>
            <w:tcW w:w="1296" w:type="dxa"/>
            <w:tcBorders>
              <w:top w:val="nil"/>
              <w:left w:val="nil"/>
              <w:bottom w:val="single" w:sz="12" w:space="0" w:color="000000"/>
              <w:right w:val="nil"/>
              <w:tl2br w:val="nil"/>
              <w:tr2bl w:val="nil"/>
            </w:tcBorders>
            <w:shd w:val="clear" w:color="auto" w:fill="FFFFFF"/>
          </w:tcPr>
          <w:p w14:paraId="2556AA9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19518</w:t>
            </w:r>
          </w:p>
        </w:tc>
        <w:tc>
          <w:tcPr>
            <w:tcW w:w="1296" w:type="dxa"/>
            <w:tcBorders>
              <w:top w:val="nil"/>
              <w:left w:val="nil"/>
              <w:bottom w:val="single" w:sz="12" w:space="0" w:color="000000"/>
              <w:right w:val="nil"/>
              <w:tl2br w:val="nil"/>
              <w:tr2bl w:val="nil"/>
            </w:tcBorders>
            <w:shd w:val="clear" w:color="auto" w:fill="FFFFFF"/>
          </w:tcPr>
          <w:p w14:paraId="08DB7C2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2.867</w:t>
            </w:r>
          </w:p>
        </w:tc>
        <w:tc>
          <w:tcPr>
            <w:tcW w:w="1296" w:type="dxa"/>
            <w:tcBorders>
              <w:top w:val="nil"/>
              <w:left w:val="nil"/>
              <w:bottom w:val="single" w:sz="12" w:space="0" w:color="000000"/>
              <w:right w:val="nil"/>
              <w:tl2br w:val="nil"/>
              <w:tr2bl w:val="nil"/>
            </w:tcBorders>
            <w:shd w:val="clear" w:color="auto" w:fill="FFFFFF"/>
          </w:tcPr>
          <w:p w14:paraId="6736FCC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0.341</w:t>
            </w:r>
          </w:p>
        </w:tc>
        <w:tc>
          <w:tcPr>
            <w:tcW w:w="1296" w:type="dxa"/>
            <w:tcBorders>
              <w:top w:val="nil"/>
              <w:left w:val="nil"/>
              <w:bottom w:val="single" w:sz="12" w:space="0" w:color="000000"/>
              <w:right w:val="nil"/>
              <w:tl2br w:val="nil"/>
              <w:tr2bl w:val="nil"/>
            </w:tcBorders>
            <w:shd w:val="clear" w:color="auto" w:fill="FFFFFF"/>
          </w:tcPr>
          <w:p w14:paraId="438CF80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1.386</w:t>
            </w:r>
          </w:p>
        </w:tc>
        <w:tc>
          <w:tcPr>
            <w:tcW w:w="1296" w:type="dxa"/>
            <w:tcBorders>
              <w:top w:val="nil"/>
              <w:left w:val="nil"/>
              <w:bottom w:val="single" w:sz="12" w:space="0" w:color="000000"/>
              <w:right w:val="nil"/>
              <w:tl2br w:val="nil"/>
              <w:tr2bl w:val="nil"/>
            </w:tcBorders>
            <w:shd w:val="clear" w:color="auto" w:fill="FFFFFF"/>
          </w:tcPr>
          <w:p w14:paraId="1213D6D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2.890</w:t>
            </w:r>
          </w:p>
        </w:tc>
        <w:tc>
          <w:tcPr>
            <w:tcW w:w="1296" w:type="dxa"/>
            <w:tcBorders>
              <w:top w:val="nil"/>
              <w:left w:val="nil"/>
              <w:bottom w:val="single" w:sz="12" w:space="0" w:color="000000"/>
              <w:right w:val="nil"/>
              <w:tl2br w:val="nil"/>
              <w:tr2bl w:val="nil"/>
            </w:tcBorders>
            <w:shd w:val="clear" w:color="auto" w:fill="FFFFFF"/>
          </w:tcPr>
          <w:p w14:paraId="1E250B8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3.584</w:t>
            </w:r>
          </w:p>
        </w:tc>
      </w:tr>
    </w:tbl>
    <w:p w14:paraId="44AE5874" w14:textId="77777777" w:rsidR="00624AAA" w:rsidRDefault="00C46345">
      <w:pPr>
        <w:spacing w:line="280" w:lineRule="exact"/>
        <w:rPr>
          <w:rFonts w:ascii="Times New Roman" w:eastAsia="SimSun" w:hAnsi="Times New Roman" w:cs="Times New Roman"/>
        </w:rPr>
      </w:pPr>
      <w:r>
        <w:rPr>
          <w:rFonts w:ascii="Palatino Linotype" w:eastAsia="Times New Roman" w:hAnsi="Palatino Linotype" w:cs="Times New Roman"/>
          <w:snapToGrid w:val="0"/>
          <w:color w:val="000000"/>
          <w:kern w:val="0"/>
          <w:sz w:val="20"/>
          <w:szCs w:val="21"/>
          <w:lang w:bidi="en-US"/>
        </w:rPr>
        <w:t>(Source: Own elaboration based on the main context of the paper).</w:t>
      </w:r>
    </w:p>
    <w:p w14:paraId="6F8437E0" w14:textId="77777777" w:rsidR="00624AAA" w:rsidRDefault="00C46345">
      <w:pPr>
        <w:pStyle w:val="MDPI22heading2"/>
        <w:spacing w:before="240"/>
        <w:ind w:left="0"/>
      </w:pPr>
      <w:r>
        <w:rPr>
          <w:rFonts w:hint="eastAsia"/>
          <w:lang w:eastAsia="zh-CN"/>
        </w:rPr>
        <w:t>5.2 Analysis of Model Fitting Effectiveness</w:t>
      </w:r>
    </w:p>
    <w:p w14:paraId="3E606F2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The model fitting results are in Table 4 </w:t>
      </w:r>
      <w:r>
        <w:rPr>
          <w:rFonts w:ascii="Palatino Linotype" w:eastAsia="Times New Roman" w:hAnsi="Palatino Linotype" w:cs="Times New Roman"/>
          <w:snapToGrid w:val="0"/>
          <w:color w:val="000000"/>
          <w:kern w:val="0"/>
          <w:sz w:val="20"/>
          <w:szCs w:val="21"/>
          <w:lang w:bidi="en-US"/>
        </w:rPr>
        <w:t>and clearly indicate a surprising strength in the predictive capacity of ensemble learning models. A Decision Tree on its own can achieve an exact fit (R²_is = 1.0000) in-sample, however its negative out-of-sample R² suggests that significant overfitting h</w:t>
      </w:r>
      <w:r>
        <w:rPr>
          <w:rFonts w:ascii="Palatino Linotype" w:eastAsia="Times New Roman" w:hAnsi="Palatino Linotype" w:cs="Times New Roman"/>
          <w:snapToGrid w:val="0"/>
          <w:color w:val="000000"/>
          <w:kern w:val="0"/>
          <w:sz w:val="20"/>
          <w:szCs w:val="21"/>
          <w:lang w:bidi="en-US"/>
        </w:rPr>
        <w:t xml:space="preserve">as occurred, making it an unreliable predictor. For ensemble models: </w:t>
      </w:r>
      <w:proofErr w:type="spellStart"/>
      <w:r>
        <w:rPr>
          <w:rFonts w:ascii="Palatino Linotype" w:eastAsia="Times New Roman" w:hAnsi="Palatino Linotype" w:cs="Times New Roman"/>
          <w:snapToGrid w:val="0"/>
          <w:color w:val="000000"/>
          <w:kern w:val="0"/>
          <w:sz w:val="20"/>
          <w:szCs w:val="21"/>
          <w:lang w:bidi="en-US"/>
        </w:rPr>
        <w:t>GradientBoosting</w:t>
      </w:r>
      <w:proofErr w:type="spellEnd"/>
      <w:r>
        <w:rPr>
          <w:rFonts w:ascii="Palatino Linotype" w:eastAsia="Times New Roman" w:hAnsi="Palatino Linotype" w:cs="Times New Roman"/>
          <w:snapToGrid w:val="0"/>
          <w:color w:val="000000"/>
          <w:kern w:val="0"/>
          <w:sz w:val="20"/>
          <w:szCs w:val="21"/>
          <w:lang w:bidi="en-US"/>
        </w:rPr>
        <w:t xml:space="preserve">, </w:t>
      </w:r>
      <w:proofErr w:type="spellStart"/>
      <w:r>
        <w:rPr>
          <w:rFonts w:ascii="Palatino Linotype" w:eastAsia="Times New Roman" w:hAnsi="Palatino Linotype" w:cs="Times New Roman"/>
          <w:snapToGrid w:val="0"/>
          <w:color w:val="000000"/>
          <w:kern w:val="0"/>
          <w:sz w:val="20"/>
          <w:szCs w:val="21"/>
          <w:lang w:bidi="en-US"/>
        </w:rPr>
        <w:t>XGBoost</w:t>
      </w:r>
      <w:proofErr w:type="spellEnd"/>
      <w:r>
        <w:rPr>
          <w:rFonts w:ascii="Palatino Linotype" w:eastAsia="Times New Roman" w:hAnsi="Palatino Linotype" w:cs="Times New Roman"/>
          <w:snapToGrid w:val="0"/>
          <w:color w:val="000000"/>
          <w:kern w:val="0"/>
          <w:sz w:val="20"/>
          <w:szCs w:val="21"/>
          <w:lang w:bidi="en-US"/>
        </w:rPr>
        <w:t xml:space="preserve">, and </w:t>
      </w:r>
      <w:proofErr w:type="spellStart"/>
      <w:r>
        <w:rPr>
          <w:rFonts w:ascii="Palatino Linotype" w:eastAsia="Times New Roman" w:hAnsi="Palatino Linotype" w:cs="Times New Roman"/>
          <w:snapToGrid w:val="0"/>
          <w:color w:val="000000"/>
          <w:kern w:val="0"/>
          <w:sz w:val="20"/>
          <w:szCs w:val="21"/>
          <w:lang w:bidi="en-US"/>
        </w:rPr>
        <w:t>RandomForest</w:t>
      </w:r>
      <w:proofErr w:type="spellEnd"/>
      <w:r>
        <w:rPr>
          <w:rFonts w:ascii="Palatino Linotype" w:eastAsia="Times New Roman" w:hAnsi="Palatino Linotype" w:cs="Times New Roman"/>
          <w:snapToGrid w:val="0"/>
          <w:color w:val="000000"/>
          <w:kern w:val="0"/>
          <w:sz w:val="20"/>
          <w:szCs w:val="21"/>
          <w:lang w:bidi="en-US"/>
        </w:rPr>
        <w:t>-we also find much stronger generalization performance.</w:t>
      </w:r>
    </w:p>
    <w:p w14:paraId="14942E6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more advanced models provide higher and more reliable out-of-sample R² and lower pre</w:t>
      </w:r>
      <w:r>
        <w:rPr>
          <w:rFonts w:ascii="Palatino Linotype" w:eastAsia="Times New Roman" w:hAnsi="Palatino Linotype" w:cs="Times New Roman"/>
          <w:snapToGrid w:val="0"/>
          <w:color w:val="000000"/>
          <w:kern w:val="0"/>
          <w:sz w:val="20"/>
          <w:szCs w:val="21"/>
          <w:lang w:bidi="en-US"/>
        </w:rPr>
        <w:t>dictive errors (</w:t>
      </w:r>
      <w:proofErr w:type="spellStart"/>
      <w:r>
        <w:rPr>
          <w:rFonts w:ascii="Palatino Linotype" w:eastAsia="Times New Roman" w:hAnsi="Palatino Linotype" w:cs="Times New Roman"/>
          <w:snapToGrid w:val="0"/>
          <w:color w:val="000000"/>
          <w:kern w:val="0"/>
          <w:sz w:val="20"/>
          <w:szCs w:val="21"/>
          <w:lang w:bidi="en-US"/>
        </w:rPr>
        <w:t>MSE_oos</w:t>
      </w:r>
      <w:proofErr w:type="spellEnd"/>
      <w:r>
        <w:rPr>
          <w:rFonts w:ascii="Palatino Linotype" w:eastAsia="Times New Roman" w:hAnsi="Palatino Linotype" w:cs="Times New Roman"/>
          <w:snapToGrid w:val="0"/>
          <w:color w:val="000000"/>
          <w:kern w:val="0"/>
          <w:sz w:val="20"/>
          <w:szCs w:val="21"/>
          <w:lang w:bidi="en-US"/>
        </w:rPr>
        <w:t xml:space="preserve"> and </w:t>
      </w:r>
      <w:proofErr w:type="spellStart"/>
      <w:r>
        <w:rPr>
          <w:rFonts w:ascii="Palatino Linotype" w:eastAsia="Times New Roman" w:hAnsi="Palatino Linotype" w:cs="Times New Roman"/>
          <w:snapToGrid w:val="0"/>
          <w:color w:val="000000"/>
          <w:kern w:val="0"/>
          <w:sz w:val="20"/>
          <w:szCs w:val="21"/>
          <w:lang w:bidi="en-US"/>
        </w:rPr>
        <w:t>MAE_oos</w:t>
      </w:r>
      <w:proofErr w:type="spellEnd"/>
      <w:r>
        <w:rPr>
          <w:rFonts w:ascii="Palatino Linotype" w:eastAsia="Times New Roman" w:hAnsi="Palatino Linotype" w:cs="Times New Roman"/>
          <w:snapToGrid w:val="0"/>
          <w:color w:val="000000"/>
          <w:kern w:val="0"/>
          <w:sz w:val="20"/>
          <w:szCs w:val="21"/>
          <w:lang w:bidi="en-US"/>
        </w:rPr>
        <w:t xml:space="preserve">) than both the linear regression and single decision </w:t>
      </w:r>
      <w:r>
        <w:rPr>
          <w:rFonts w:ascii="Palatino Linotype" w:eastAsia="Times New Roman" w:hAnsi="Palatino Linotype" w:cs="Times New Roman"/>
          <w:snapToGrid w:val="0"/>
          <w:color w:val="000000"/>
          <w:kern w:val="0"/>
          <w:sz w:val="20"/>
          <w:szCs w:val="21"/>
          <w:lang w:bidi="en-US"/>
        </w:rPr>
        <w:lastRenderedPageBreak/>
        <w:t xml:space="preserve">tree. </w:t>
      </w:r>
      <w:proofErr w:type="spellStart"/>
      <w:r>
        <w:rPr>
          <w:rFonts w:ascii="Palatino Linotype" w:eastAsia="Times New Roman" w:hAnsi="Palatino Linotype" w:cs="Times New Roman"/>
          <w:snapToGrid w:val="0"/>
          <w:color w:val="000000"/>
          <w:kern w:val="0"/>
          <w:sz w:val="20"/>
          <w:szCs w:val="21"/>
          <w:lang w:bidi="en-US"/>
        </w:rPr>
        <w:t>RandomForest</w:t>
      </w:r>
      <w:proofErr w:type="spellEnd"/>
      <w:r>
        <w:rPr>
          <w:rFonts w:ascii="Palatino Linotype" w:eastAsia="Times New Roman" w:hAnsi="Palatino Linotype" w:cs="Times New Roman"/>
          <w:snapToGrid w:val="0"/>
          <w:color w:val="000000"/>
          <w:kern w:val="0"/>
          <w:sz w:val="20"/>
          <w:szCs w:val="21"/>
          <w:lang w:bidi="en-US"/>
        </w:rPr>
        <w:t xml:space="preserve">, has especially robust and stable predictive capacity for predicting both of the two dependent variables, SGR and PV. Considering the </w:t>
      </w:r>
      <w:proofErr w:type="spellStart"/>
      <w:r>
        <w:rPr>
          <w:rFonts w:ascii="Palatino Linotype" w:eastAsia="Times New Roman" w:hAnsi="Palatino Linotype" w:cs="Times New Roman"/>
          <w:snapToGrid w:val="0"/>
          <w:color w:val="000000"/>
          <w:kern w:val="0"/>
          <w:sz w:val="20"/>
          <w:szCs w:val="21"/>
          <w:lang w:bidi="en-US"/>
        </w:rPr>
        <w:t>RandomForest</w:t>
      </w:r>
      <w:proofErr w:type="spellEnd"/>
      <w:r>
        <w:rPr>
          <w:rFonts w:ascii="Palatino Linotype" w:eastAsia="Times New Roman" w:hAnsi="Palatino Linotype" w:cs="Times New Roman"/>
          <w:snapToGrid w:val="0"/>
          <w:color w:val="000000"/>
          <w:kern w:val="0"/>
          <w:sz w:val="20"/>
          <w:szCs w:val="21"/>
          <w:lang w:bidi="en-US"/>
        </w:rPr>
        <w:t xml:space="preserve"> m</w:t>
      </w:r>
      <w:r>
        <w:rPr>
          <w:rFonts w:ascii="Palatino Linotype" w:eastAsia="Times New Roman" w:hAnsi="Palatino Linotype" w:cs="Times New Roman"/>
          <w:snapToGrid w:val="0"/>
          <w:color w:val="000000"/>
          <w:kern w:val="0"/>
          <w:sz w:val="20"/>
          <w:szCs w:val="21"/>
          <w:lang w:bidi="en-US"/>
        </w:rPr>
        <w:t xml:space="preserve">odel had the highest overall accuracy and generalization ability overall, we will move forward with the </w:t>
      </w:r>
      <w:proofErr w:type="spellStart"/>
      <w:r>
        <w:rPr>
          <w:rFonts w:ascii="Palatino Linotype" w:eastAsia="Times New Roman" w:hAnsi="Palatino Linotype" w:cs="Times New Roman"/>
          <w:snapToGrid w:val="0"/>
          <w:color w:val="000000"/>
          <w:kern w:val="0"/>
          <w:sz w:val="20"/>
          <w:szCs w:val="21"/>
          <w:lang w:bidi="en-US"/>
        </w:rPr>
        <w:t>RandomForest</w:t>
      </w:r>
      <w:proofErr w:type="spellEnd"/>
      <w:r>
        <w:rPr>
          <w:rFonts w:ascii="Palatino Linotype" w:eastAsia="Times New Roman" w:hAnsi="Palatino Linotype" w:cs="Times New Roman"/>
          <w:snapToGrid w:val="0"/>
          <w:color w:val="000000"/>
          <w:kern w:val="0"/>
          <w:sz w:val="20"/>
          <w:szCs w:val="21"/>
          <w:lang w:bidi="en-US"/>
        </w:rPr>
        <w:t xml:space="preserve"> model for an analysis of feature importance and interpretation analysis.</w:t>
      </w:r>
    </w:p>
    <w:p w14:paraId="13C561CA"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p w14:paraId="16454E96" w14:textId="77777777" w:rsidR="00624AAA" w:rsidRDefault="00C46345">
      <w:pPr>
        <w:pStyle w:val="MDPI41tablecaption"/>
        <w:ind w:left="0"/>
        <w:rPr>
          <w:bCs/>
          <w:sz w:val="20"/>
          <w:szCs w:val="24"/>
          <w:lang w:eastAsia="zh-CN"/>
        </w:rPr>
      </w:pPr>
      <w:r>
        <w:rPr>
          <w:b/>
          <w:sz w:val="20"/>
          <w:szCs w:val="24"/>
          <w:lang w:eastAsia="zh-CN"/>
        </w:rPr>
        <w:t>Table 4.</w:t>
      </w:r>
      <w:r>
        <w:rPr>
          <w:bCs/>
          <w:sz w:val="20"/>
          <w:szCs w:val="24"/>
          <w:lang w:eastAsia="zh-CN"/>
        </w:rPr>
        <w:t xml:space="preserve"> Comparison of model fitting effects</w:t>
      </w:r>
    </w:p>
    <w:tbl>
      <w:tblPr>
        <w:tblStyle w:val="TableGrid"/>
        <w:tblW w:w="8997" w:type="dxa"/>
        <w:jc w:val="center"/>
        <w:tblLook w:val="04A0" w:firstRow="1" w:lastRow="0" w:firstColumn="1" w:lastColumn="0" w:noHBand="0" w:noVBand="1"/>
      </w:tblPr>
      <w:tblGrid>
        <w:gridCol w:w="931"/>
        <w:gridCol w:w="1087"/>
        <w:gridCol w:w="1757"/>
        <w:gridCol w:w="983"/>
        <w:gridCol w:w="1782"/>
        <w:gridCol w:w="993"/>
        <w:gridCol w:w="1520"/>
      </w:tblGrid>
      <w:tr w:rsidR="00624AAA" w14:paraId="0F0EE66B" w14:textId="77777777">
        <w:trPr>
          <w:jc w:val="center"/>
        </w:trPr>
        <w:tc>
          <w:tcPr>
            <w:tcW w:w="0" w:type="auto"/>
            <w:tcBorders>
              <w:top w:val="single" w:sz="12" w:space="0" w:color="000000"/>
              <w:left w:val="nil"/>
              <w:bottom w:val="single" w:sz="4" w:space="0" w:color="000000"/>
              <w:right w:val="nil"/>
              <w:tl2br w:val="nil"/>
            </w:tcBorders>
            <w:shd w:val="clear" w:color="auto" w:fill="FFFFFF"/>
            <w:vAlign w:val="center"/>
          </w:tcPr>
          <w:p w14:paraId="7BE49FE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variable</w:t>
            </w:r>
          </w:p>
        </w:tc>
        <w:tc>
          <w:tcPr>
            <w:tcW w:w="0" w:type="auto"/>
            <w:tcBorders>
              <w:top w:val="single" w:sz="12" w:space="0" w:color="000000"/>
              <w:left w:val="nil"/>
              <w:bottom w:val="single" w:sz="4" w:space="0" w:color="000000"/>
              <w:right w:val="nil"/>
            </w:tcBorders>
            <w:shd w:val="clear" w:color="auto" w:fill="FFFFFF"/>
            <w:vAlign w:val="center"/>
          </w:tcPr>
          <w:p w14:paraId="0CD7C28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Error</w:t>
            </w:r>
          </w:p>
          <w:p w14:paraId="4C4E8BE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metric</w:t>
            </w:r>
          </w:p>
        </w:tc>
        <w:tc>
          <w:tcPr>
            <w:tcW w:w="1701" w:type="dxa"/>
            <w:tcBorders>
              <w:top w:val="single" w:sz="12" w:space="0" w:color="000000"/>
              <w:left w:val="nil"/>
              <w:bottom w:val="single" w:sz="4" w:space="0" w:color="000000"/>
              <w:right w:val="nil"/>
            </w:tcBorders>
            <w:shd w:val="clear" w:color="auto" w:fill="FFFFFF"/>
            <w:vAlign w:val="center"/>
          </w:tcPr>
          <w:p w14:paraId="7C594AF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LinearRegression</w:t>
            </w:r>
            <w:proofErr w:type="spellEnd"/>
          </w:p>
        </w:tc>
        <w:tc>
          <w:tcPr>
            <w:tcW w:w="0" w:type="auto"/>
            <w:tcBorders>
              <w:top w:val="single" w:sz="12" w:space="0" w:color="000000"/>
              <w:left w:val="nil"/>
              <w:bottom w:val="single" w:sz="4" w:space="0" w:color="000000"/>
              <w:right w:val="nil"/>
            </w:tcBorders>
            <w:shd w:val="clear" w:color="auto" w:fill="FFFFFF"/>
            <w:vAlign w:val="center"/>
          </w:tcPr>
          <w:p w14:paraId="089D0AB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Decision Tree</w:t>
            </w:r>
          </w:p>
        </w:tc>
        <w:tc>
          <w:tcPr>
            <w:tcW w:w="0" w:type="auto"/>
            <w:tcBorders>
              <w:top w:val="single" w:sz="12" w:space="0" w:color="000000"/>
              <w:left w:val="nil"/>
              <w:bottom w:val="single" w:sz="4" w:space="0" w:color="000000"/>
              <w:right w:val="nil"/>
            </w:tcBorders>
            <w:shd w:val="clear" w:color="auto" w:fill="FFFFFF"/>
            <w:vAlign w:val="center"/>
          </w:tcPr>
          <w:p w14:paraId="0BB00DF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GradientBoosting</w:t>
            </w:r>
            <w:proofErr w:type="spellEnd"/>
          </w:p>
        </w:tc>
        <w:tc>
          <w:tcPr>
            <w:tcW w:w="0" w:type="auto"/>
            <w:tcBorders>
              <w:top w:val="single" w:sz="12" w:space="0" w:color="000000"/>
              <w:left w:val="nil"/>
              <w:bottom w:val="single" w:sz="4" w:space="0" w:color="000000"/>
              <w:right w:val="nil"/>
            </w:tcBorders>
            <w:shd w:val="clear" w:color="auto" w:fill="FFFFFF"/>
            <w:vAlign w:val="center"/>
          </w:tcPr>
          <w:p w14:paraId="7C151C5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XGBoost</w:t>
            </w:r>
            <w:proofErr w:type="spellEnd"/>
          </w:p>
        </w:tc>
        <w:tc>
          <w:tcPr>
            <w:tcW w:w="0" w:type="auto"/>
            <w:tcBorders>
              <w:top w:val="single" w:sz="12" w:space="0" w:color="000000"/>
              <w:left w:val="nil"/>
              <w:bottom w:val="single" w:sz="4" w:space="0" w:color="000000"/>
              <w:right w:val="nil"/>
            </w:tcBorders>
            <w:shd w:val="clear" w:color="auto" w:fill="FFFFFF"/>
            <w:vAlign w:val="center"/>
          </w:tcPr>
          <w:p w14:paraId="50EC29D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RandomForest</w:t>
            </w:r>
            <w:proofErr w:type="spellEnd"/>
          </w:p>
        </w:tc>
      </w:tr>
      <w:tr w:rsidR="00624AAA" w14:paraId="7E16247A" w14:textId="77777777">
        <w:trPr>
          <w:jc w:val="center"/>
        </w:trPr>
        <w:tc>
          <w:tcPr>
            <w:tcW w:w="0" w:type="auto"/>
            <w:vMerge w:val="restart"/>
            <w:tcBorders>
              <w:top w:val="single" w:sz="4" w:space="0" w:color="000000"/>
              <w:left w:val="nil"/>
              <w:bottom w:val="nil"/>
              <w:right w:val="nil"/>
            </w:tcBorders>
            <w:shd w:val="clear" w:color="auto" w:fill="FFFFFF"/>
            <w:vAlign w:val="center"/>
          </w:tcPr>
          <w:p w14:paraId="49AA564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SGR</w:t>
            </w:r>
          </w:p>
        </w:tc>
        <w:tc>
          <w:tcPr>
            <w:tcW w:w="0" w:type="auto"/>
            <w:tcBorders>
              <w:top w:val="single" w:sz="4" w:space="0" w:color="000000"/>
              <w:left w:val="nil"/>
              <w:bottom w:val="nil"/>
              <w:right w:val="nil"/>
            </w:tcBorders>
            <w:shd w:val="clear" w:color="auto" w:fill="FFFFFF"/>
            <w:vAlign w:val="center"/>
          </w:tcPr>
          <w:p w14:paraId="26BC157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R2_is</w:t>
            </w:r>
          </w:p>
        </w:tc>
        <w:tc>
          <w:tcPr>
            <w:tcW w:w="1701" w:type="dxa"/>
            <w:tcBorders>
              <w:top w:val="single" w:sz="4" w:space="0" w:color="000000"/>
              <w:left w:val="nil"/>
              <w:bottom w:val="nil"/>
              <w:right w:val="nil"/>
            </w:tcBorders>
            <w:shd w:val="clear" w:color="auto" w:fill="FFFFFF"/>
            <w:vAlign w:val="center"/>
          </w:tcPr>
          <w:p w14:paraId="188F665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0.1759</w:t>
            </w:r>
          </w:p>
        </w:tc>
        <w:tc>
          <w:tcPr>
            <w:tcW w:w="0" w:type="auto"/>
            <w:tcBorders>
              <w:top w:val="single" w:sz="4" w:space="0" w:color="000000"/>
              <w:left w:val="nil"/>
              <w:bottom w:val="nil"/>
              <w:right w:val="nil"/>
            </w:tcBorders>
            <w:shd w:val="clear" w:color="auto" w:fill="FFFFFF"/>
            <w:vAlign w:val="center"/>
          </w:tcPr>
          <w:p w14:paraId="5057079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1.0000</w:t>
            </w:r>
          </w:p>
        </w:tc>
        <w:tc>
          <w:tcPr>
            <w:tcW w:w="0" w:type="auto"/>
            <w:tcBorders>
              <w:top w:val="single" w:sz="4" w:space="0" w:color="000000"/>
              <w:left w:val="nil"/>
              <w:bottom w:val="nil"/>
              <w:right w:val="nil"/>
            </w:tcBorders>
            <w:shd w:val="clear" w:color="auto" w:fill="FFFFFF"/>
            <w:vAlign w:val="center"/>
          </w:tcPr>
          <w:p w14:paraId="35CA940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0.4608</w:t>
            </w:r>
          </w:p>
        </w:tc>
        <w:tc>
          <w:tcPr>
            <w:tcW w:w="0" w:type="auto"/>
            <w:tcBorders>
              <w:top w:val="single" w:sz="4" w:space="0" w:color="000000"/>
              <w:left w:val="nil"/>
              <w:bottom w:val="nil"/>
              <w:right w:val="nil"/>
            </w:tcBorders>
            <w:shd w:val="clear" w:color="auto" w:fill="FFFFFF"/>
            <w:vAlign w:val="center"/>
          </w:tcPr>
          <w:p w14:paraId="379DB3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0.7752</w:t>
            </w:r>
          </w:p>
        </w:tc>
        <w:tc>
          <w:tcPr>
            <w:tcW w:w="0" w:type="auto"/>
            <w:tcBorders>
              <w:top w:val="single" w:sz="4" w:space="0" w:color="000000"/>
              <w:left w:val="nil"/>
              <w:bottom w:val="nil"/>
              <w:right w:val="nil"/>
            </w:tcBorders>
            <w:shd w:val="clear" w:color="auto" w:fill="FFFFFF"/>
            <w:vAlign w:val="center"/>
          </w:tcPr>
          <w:p w14:paraId="37FCF37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0.9178</w:t>
            </w:r>
          </w:p>
        </w:tc>
      </w:tr>
      <w:tr w:rsidR="00624AAA" w14:paraId="31DB1E17" w14:textId="77777777">
        <w:trPr>
          <w:jc w:val="center"/>
        </w:trPr>
        <w:tc>
          <w:tcPr>
            <w:tcW w:w="0" w:type="auto"/>
            <w:vMerge/>
            <w:tcBorders>
              <w:top w:val="nil"/>
              <w:left w:val="nil"/>
              <w:bottom w:val="nil"/>
              <w:right w:val="nil"/>
            </w:tcBorders>
            <w:shd w:val="clear" w:color="auto" w:fill="FFFFFF"/>
            <w:vAlign w:val="center"/>
          </w:tcPr>
          <w:p w14:paraId="32825841"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nil"/>
              <w:right w:val="nil"/>
            </w:tcBorders>
            <w:shd w:val="clear" w:color="auto" w:fill="FFFFFF"/>
            <w:vAlign w:val="center"/>
          </w:tcPr>
          <w:p w14:paraId="4D8079D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R2_oos</w:t>
            </w:r>
          </w:p>
        </w:tc>
        <w:tc>
          <w:tcPr>
            <w:tcW w:w="1701" w:type="dxa"/>
            <w:tcBorders>
              <w:top w:val="nil"/>
              <w:left w:val="nil"/>
              <w:bottom w:val="nil"/>
              <w:right w:val="nil"/>
            </w:tcBorders>
            <w:shd w:val="clear" w:color="auto" w:fill="FFFFFF"/>
            <w:vAlign w:val="center"/>
          </w:tcPr>
          <w:p w14:paraId="54D04C0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0.1653</w:t>
            </w:r>
          </w:p>
        </w:tc>
        <w:tc>
          <w:tcPr>
            <w:tcW w:w="0" w:type="auto"/>
            <w:tcBorders>
              <w:top w:val="nil"/>
              <w:left w:val="nil"/>
              <w:bottom w:val="nil"/>
              <w:right w:val="nil"/>
            </w:tcBorders>
            <w:shd w:val="clear" w:color="auto" w:fill="FFFFFF"/>
            <w:vAlign w:val="center"/>
          </w:tcPr>
          <w:p w14:paraId="5602B27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-0.2036</w:t>
            </w:r>
          </w:p>
        </w:tc>
        <w:tc>
          <w:tcPr>
            <w:tcW w:w="0" w:type="auto"/>
            <w:tcBorders>
              <w:top w:val="nil"/>
              <w:left w:val="nil"/>
              <w:bottom w:val="nil"/>
              <w:right w:val="nil"/>
            </w:tcBorders>
            <w:shd w:val="clear" w:color="auto" w:fill="FFFFFF"/>
            <w:vAlign w:val="center"/>
          </w:tcPr>
          <w:p w14:paraId="40846E7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0.4329</w:t>
            </w:r>
          </w:p>
        </w:tc>
        <w:tc>
          <w:tcPr>
            <w:tcW w:w="0" w:type="auto"/>
            <w:tcBorders>
              <w:top w:val="nil"/>
              <w:left w:val="nil"/>
              <w:bottom w:val="nil"/>
              <w:right w:val="nil"/>
            </w:tcBorders>
            <w:shd w:val="clear" w:color="auto" w:fill="FFFFFF"/>
            <w:vAlign w:val="center"/>
          </w:tcPr>
          <w:p w14:paraId="338ECE2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0.4231</w:t>
            </w:r>
          </w:p>
        </w:tc>
        <w:tc>
          <w:tcPr>
            <w:tcW w:w="0" w:type="auto"/>
            <w:tcBorders>
              <w:top w:val="nil"/>
              <w:left w:val="nil"/>
              <w:bottom w:val="nil"/>
              <w:right w:val="nil"/>
            </w:tcBorders>
            <w:shd w:val="clear" w:color="auto" w:fill="FFFFFF"/>
            <w:vAlign w:val="center"/>
          </w:tcPr>
          <w:p w14:paraId="0886AE5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0.4199</w:t>
            </w:r>
          </w:p>
        </w:tc>
      </w:tr>
      <w:tr w:rsidR="00624AAA" w14:paraId="336F9CBC" w14:textId="77777777">
        <w:trPr>
          <w:jc w:val="center"/>
        </w:trPr>
        <w:tc>
          <w:tcPr>
            <w:tcW w:w="0" w:type="auto"/>
            <w:vMerge/>
            <w:tcBorders>
              <w:top w:val="nil"/>
              <w:left w:val="nil"/>
              <w:bottom w:val="nil"/>
              <w:right w:val="nil"/>
            </w:tcBorders>
            <w:shd w:val="clear" w:color="auto" w:fill="FFFFFF"/>
            <w:vAlign w:val="center"/>
          </w:tcPr>
          <w:p w14:paraId="3E1E3411"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nil"/>
              <w:right w:val="nil"/>
            </w:tcBorders>
            <w:shd w:val="clear" w:color="auto" w:fill="FFFFFF"/>
            <w:vAlign w:val="center"/>
          </w:tcPr>
          <w:p w14:paraId="27C0569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MSE_oos</w:t>
            </w:r>
            <w:proofErr w:type="spellEnd"/>
          </w:p>
        </w:tc>
        <w:tc>
          <w:tcPr>
            <w:tcW w:w="1701" w:type="dxa"/>
            <w:tcBorders>
              <w:top w:val="nil"/>
              <w:left w:val="nil"/>
              <w:bottom w:val="nil"/>
              <w:right w:val="nil"/>
            </w:tcBorders>
            <w:shd w:val="clear" w:color="auto" w:fill="FFFFFF"/>
            <w:vAlign w:val="center"/>
          </w:tcPr>
          <w:p w14:paraId="18C7376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0.0089</w:t>
            </w:r>
          </w:p>
        </w:tc>
        <w:tc>
          <w:tcPr>
            <w:tcW w:w="0" w:type="auto"/>
            <w:tcBorders>
              <w:top w:val="nil"/>
              <w:left w:val="nil"/>
              <w:bottom w:val="nil"/>
              <w:right w:val="nil"/>
            </w:tcBorders>
            <w:shd w:val="clear" w:color="auto" w:fill="FFFFFF"/>
            <w:vAlign w:val="center"/>
          </w:tcPr>
          <w:p w14:paraId="2DA51BA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0.0128</w:t>
            </w:r>
          </w:p>
        </w:tc>
        <w:tc>
          <w:tcPr>
            <w:tcW w:w="0" w:type="auto"/>
            <w:tcBorders>
              <w:top w:val="nil"/>
              <w:left w:val="nil"/>
              <w:bottom w:val="nil"/>
              <w:right w:val="nil"/>
            </w:tcBorders>
            <w:shd w:val="clear" w:color="auto" w:fill="FFFFFF"/>
            <w:vAlign w:val="center"/>
          </w:tcPr>
          <w:p w14:paraId="32226FB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0.0060</w:t>
            </w:r>
          </w:p>
        </w:tc>
        <w:tc>
          <w:tcPr>
            <w:tcW w:w="0" w:type="auto"/>
            <w:tcBorders>
              <w:top w:val="nil"/>
              <w:left w:val="nil"/>
              <w:bottom w:val="nil"/>
              <w:right w:val="nil"/>
            </w:tcBorders>
            <w:shd w:val="clear" w:color="auto" w:fill="FFFFFF"/>
            <w:vAlign w:val="center"/>
          </w:tcPr>
          <w:p w14:paraId="6E25ADF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0.0061</w:t>
            </w:r>
          </w:p>
        </w:tc>
        <w:tc>
          <w:tcPr>
            <w:tcW w:w="0" w:type="auto"/>
            <w:tcBorders>
              <w:top w:val="nil"/>
              <w:left w:val="nil"/>
              <w:bottom w:val="nil"/>
              <w:right w:val="nil"/>
            </w:tcBorders>
            <w:shd w:val="clear" w:color="auto" w:fill="FFFFFF"/>
            <w:vAlign w:val="center"/>
          </w:tcPr>
          <w:p w14:paraId="368F52F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0.0062</w:t>
            </w:r>
          </w:p>
        </w:tc>
      </w:tr>
      <w:tr w:rsidR="00624AAA" w14:paraId="32B84A82" w14:textId="77777777">
        <w:trPr>
          <w:jc w:val="center"/>
        </w:trPr>
        <w:tc>
          <w:tcPr>
            <w:tcW w:w="0" w:type="auto"/>
            <w:vMerge/>
            <w:tcBorders>
              <w:top w:val="nil"/>
              <w:left w:val="nil"/>
              <w:bottom w:val="nil"/>
              <w:right w:val="nil"/>
            </w:tcBorders>
            <w:shd w:val="clear" w:color="auto" w:fill="FFFFFF"/>
            <w:vAlign w:val="center"/>
          </w:tcPr>
          <w:p w14:paraId="5BDCB68E"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nil"/>
              <w:right w:val="nil"/>
            </w:tcBorders>
            <w:shd w:val="clear" w:color="auto" w:fill="FFFFFF"/>
            <w:vAlign w:val="center"/>
          </w:tcPr>
          <w:p w14:paraId="3D5452C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MAE_oos</w:t>
            </w:r>
            <w:proofErr w:type="spellEnd"/>
          </w:p>
          <w:p w14:paraId="66F7A8E7"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01" w:type="dxa"/>
            <w:tcBorders>
              <w:top w:val="nil"/>
              <w:left w:val="nil"/>
              <w:bottom w:val="nil"/>
              <w:right w:val="nil"/>
            </w:tcBorders>
            <w:shd w:val="clear" w:color="auto" w:fill="FFFFFF"/>
            <w:vAlign w:val="center"/>
          </w:tcPr>
          <w:p w14:paraId="46178A3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0.0585</w:t>
            </w:r>
          </w:p>
        </w:tc>
        <w:tc>
          <w:tcPr>
            <w:tcW w:w="0" w:type="auto"/>
            <w:tcBorders>
              <w:top w:val="nil"/>
              <w:left w:val="nil"/>
              <w:bottom w:val="nil"/>
              <w:right w:val="nil"/>
            </w:tcBorders>
            <w:shd w:val="clear" w:color="auto" w:fill="FFFFFF"/>
            <w:vAlign w:val="center"/>
          </w:tcPr>
          <w:p w14:paraId="101F750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0.0712</w:t>
            </w:r>
          </w:p>
        </w:tc>
        <w:tc>
          <w:tcPr>
            <w:tcW w:w="0" w:type="auto"/>
            <w:tcBorders>
              <w:top w:val="nil"/>
              <w:left w:val="nil"/>
              <w:bottom w:val="nil"/>
              <w:right w:val="nil"/>
            </w:tcBorders>
            <w:shd w:val="clear" w:color="auto" w:fill="FFFFFF"/>
            <w:vAlign w:val="center"/>
          </w:tcPr>
          <w:p w14:paraId="21D9FEE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0.0497</w:t>
            </w:r>
          </w:p>
        </w:tc>
        <w:tc>
          <w:tcPr>
            <w:tcW w:w="0" w:type="auto"/>
            <w:tcBorders>
              <w:top w:val="nil"/>
              <w:left w:val="nil"/>
              <w:bottom w:val="nil"/>
              <w:right w:val="nil"/>
            </w:tcBorders>
            <w:shd w:val="clear" w:color="auto" w:fill="FFFFFF"/>
            <w:vAlign w:val="center"/>
          </w:tcPr>
          <w:p w14:paraId="431426C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0.0516</w:t>
            </w:r>
          </w:p>
        </w:tc>
        <w:tc>
          <w:tcPr>
            <w:tcW w:w="0" w:type="auto"/>
            <w:tcBorders>
              <w:top w:val="nil"/>
              <w:left w:val="nil"/>
              <w:bottom w:val="nil"/>
              <w:right w:val="nil"/>
            </w:tcBorders>
            <w:shd w:val="clear" w:color="auto" w:fill="FFFFFF"/>
            <w:vAlign w:val="center"/>
          </w:tcPr>
          <w:p w14:paraId="772071B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0.0503</w:t>
            </w:r>
          </w:p>
        </w:tc>
      </w:tr>
      <w:tr w:rsidR="00624AAA" w14:paraId="60B355A3" w14:textId="77777777">
        <w:trPr>
          <w:jc w:val="center"/>
        </w:trPr>
        <w:tc>
          <w:tcPr>
            <w:tcW w:w="0" w:type="auto"/>
            <w:vMerge w:val="restart"/>
            <w:tcBorders>
              <w:top w:val="nil"/>
              <w:left w:val="nil"/>
              <w:bottom w:val="nil"/>
              <w:right w:val="nil"/>
            </w:tcBorders>
            <w:shd w:val="clear" w:color="auto" w:fill="FFFFFF"/>
            <w:vAlign w:val="center"/>
          </w:tcPr>
          <w:p w14:paraId="630F37F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PV</w:t>
            </w:r>
          </w:p>
        </w:tc>
        <w:tc>
          <w:tcPr>
            <w:tcW w:w="0" w:type="auto"/>
            <w:tcBorders>
              <w:top w:val="nil"/>
              <w:left w:val="nil"/>
              <w:bottom w:val="nil"/>
              <w:right w:val="nil"/>
            </w:tcBorders>
            <w:shd w:val="clear" w:color="auto" w:fill="FFFFFF"/>
            <w:vAlign w:val="center"/>
          </w:tcPr>
          <w:p w14:paraId="59E2D74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R2_is</w:t>
            </w:r>
          </w:p>
        </w:tc>
        <w:tc>
          <w:tcPr>
            <w:tcW w:w="1701" w:type="dxa"/>
            <w:tcBorders>
              <w:top w:val="nil"/>
              <w:left w:val="nil"/>
              <w:bottom w:val="nil"/>
              <w:right w:val="nil"/>
            </w:tcBorders>
            <w:shd w:val="clear" w:color="auto" w:fill="FFFFFF"/>
            <w:vAlign w:val="center"/>
          </w:tcPr>
          <w:p w14:paraId="6E6A4CE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0.1242</w:t>
            </w:r>
          </w:p>
        </w:tc>
        <w:tc>
          <w:tcPr>
            <w:tcW w:w="0" w:type="auto"/>
            <w:tcBorders>
              <w:top w:val="nil"/>
              <w:left w:val="nil"/>
              <w:bottom w:val="nil"/>
              <w:right w:val="nil"/>
            </w:tcBorders>
            <w:shd w:val="clear" w:color="auto" w:fill="FFFFFF"/>
            <w:vAlign w:val="center"/>
          </w:tcPr>
          <w:p w14:paraId="7F15595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1.0000</w:t>
            </w:r>
          </w:p>
        </w:tc>
        <w:tc>
          <w:tcPr>
            <w:tcW w:w="0" w:type="auto"/>
            <w:tcBorders>
              <w:top w:val="nil"/>
              <w:left w:val="nil"/>
              <w:bottom w:val="nil"/>
              <w:right w:val="nil"/>
            </w:tcBorders>
            <w:shd w:val="clear" w:color="auto" w:fill="FFFFFF"/>
            <w:vAlign w:val="center"/>
          </w:tcPr>
          <w:p w14:paraId="7112330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0.2996</w:t>
            </w:r>
          </w:p>
        </w:tc>
        <w:tc>
          <w:tcPr>
            <w:tcW w:w="0" w:type="auto"/>
            <w:tcBorders>
              <w:top w:val="nil"/>
              <w:left w:val="nil"/>
              <w:bottom w:val="nil"/>
              <w:right w:val="nil"/>
            </w:tcBorders>
            <w:shd w:val="clear" w:color="auto" w:fill="FFFFFF"/>
            <w:vAlign w:val="center"/>
          </w:tcPr>
          <w:p w14:paraId="623B8EB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0.7447</w:t>
            </w:r>
          </w:p>
        </w:tc>
        <w:tc>
          <w:tcPr>
            <w:tcW w:w="0" w:type="auto"/>
            <w:tcBorders>
              <w:top w:val="nil"/>
              <w:left w:val="nil"/>
              <w:bottom w:val="nil"/>
              <w:right w:val="nil"/>
            </w:tcBorders>
            <w:shd w:val="clear" w:color="auto" w:fill="FFFFFF"/>
            <w:vAlign w:val="center"/>
          </w:tcPr>
          <w:p w14:paraId="21DE1AB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0.8904</w:t>
            </w:r>
          </w:p>
        </w:tc>
      </w:tr>
      <w:tr w:rsidR="00624AAA" w14:paraId="15C763A8" w14:textId="77777777">
        <w:trPr>
          <w:trHeight w:val="90"/>
          <w:jc w:val="center"/>
        </w:trPr>
        <w:tc>
          <w:tcPr>
            <w:tcW w:w="0" w:type="auto"/>
            <w:vMerge/>
            <w:tcBorders>
              <w:top w:val="nil"/>
              <w:left w:val="nil"/>
              <w:bottom w:val="nil"/>
              <w:right w:val="nil"/>
            </w:tcBorders>
            <w:shd w:val="clear" w:color="auto" w:fill="FFFFFF"/>
            <w:vAlign w:val="center"/>
          </w:tcPr>
          <w:p w14:paraId="5AE93DC8"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nil"/>
              <w:right w:val="nil"/>
            </w:tcBorders>
            <w:shd w:val="clear" w:color="auto" w:fill="FFFFFF"/>
            <w:vAlign w:val="center"/>
          </w:tcPr>
          <w:p w14:paraId="40F40D4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R2_oos</w:t>
            </w:r>
          </w:p>
        </w:tc>
        <w:tc>
          <w:tcPr>
            <w:tcW w:w="1701" w:type="dxa"/>
            <w:tcBorders>
              <w:top w:val="nil"/>
              <w:left w:val="nil"/>
              <w:bottom w:val="nil"/>
              <w:right w:val="nil"/>
            </w:tcBorders>
            <w:shd w:val="clear" w:color="auto" w:fill="FFFFFF"/>
            <w:vAlign w:val="center"/>
          </w:tcPr>
          <w:p w14:paraId="6DAD4A2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0.0907</w:t>
            </w:r>
          </w:p>
        </w:tc>
        <w:tc>
          <w:tcPr>
            <w:tcW w:w="0" w:type="auto"/>
            <w:tcBorders>
              <w:top w:val="nil"/>
              <w:left w:val="nil"/>
              <w:bottom w:val="nil"/>
              <w:right w:val="nil"/>
            </w:tcBorders>
            <w:shd w:val="clear" w:color="auto" w:fill="FFFFFF"/>
            <w:vAlign w:val="center"/>
          </w:tcPr>
          <w:p w14:paraId="2C02CEA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-1.0785</w:t>
            </w:r>
          </w:p>
        </w:tc>
        <w:tc>
          <w:tcPr>
            <w:tcW w:w="0" w:type="auto"/>
            <w:tcBorders>
              <w:top w:val="nil"/>
              <w:left w:val="nil"/>
              <w:bottom w:val="nil"/>
              <w:right w:val="nil"/>
            </w:tcBorders>
            <w:shd w:val="clear" w:color="auto" w:fill="FFFFFF"/>
            <w:vAlign w:val="center"/>
          </w:tcPr>
          <w:p w14:paraId="02BF9D4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0.1536</w:t>
            </w:r>
          </w:p>
        </w:tc>
        <w:tc>
          <w:tcPr>
            <w:tcW w:w="0" w:type="auto"/>
            <w:tcBorders>
              <w:top w:val="nil"/>
              <w:left w:val="nil"/>
              <w:bottom w:val="nil"/>
              <w:right w:val="nil"/>
            </w:tcBorders>
            <w:shd w:val="clear" w:color="auto" w:fill="FFFFFF"/>
            <w:vAlign w:val="center"/>
          </w:tcPr>
          <w:p w14:paraId="0C01DC9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0.0858</w:t>
            </w:r>
          </w:p>
        </w:tc>
        <w:tc>
          <w:tcPr>
            <w:tcW w:w="0" w:type="auto"/>
            <w:tcBorders>
              <w:top w:val="nil"/>
              <w:left w:val="nil"/>
              <w:bottom w:val="nil"/>
              <w:right w:val="nil"/>
            </w:tcBorders>
            <w:shd w:val="clear" w:color="auto" w:fill="FFFFFF"/>
            <w:vAlign w:val="center"/>
          </w:tcPr>
          <w:p w14:paraId="3E77D2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0.1544</w:t>
            </w:r>
          </w:p>
        </w:tc>
      </w:tr>
      <w:tr w:rsidR="00624AAA" w14:paraId="458529B0" w14:textId="77777777">
        <w:trPr>
          <w:jc w:val="center"/>
        </w:trPr>
        <w:tc>
          <w:tcPr>
            <w:tcW w:w="0" w:type="auto"/>
            <w:vMerge/>
            <w:tcBorders>
              <w:top w:val="nil"/>
              <w:left w:val="nil"/>
              <w:bottom w:val="nil"/>
              <w:right w:val="nil"/>
            </w:tcBorders>
            <w:shd w:val="clear" w:color="auto" w:fill="FFFFFF"/>
            <w:vAlign w:val="center"/>
          </w:tcPr>
          <w:p w14:paraId="1D46E1A0"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nil"/>
              <w:right w:val="nil"/>
            </w:tcBorders>
            <w:shd w:val="clear" w:color="auto" w:fill="FFFFFF"/>
            <w:vAlign w:val="center"/>
          </w:tcPr>
          <w:p w14:paraId="434A767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MSE_oos</w:t>
            </w:r>
            <w:proofErr w:type="spellEnd"/>
          </w:p>
        </w:tc>
        <w:tc>
          <w:tcPr>
            <w:tcW w:w="1701" w:type="dxa"/>
            <w:tcBorders>
              <w:top w:val="nil"/>
              <w:left w:val="nil"/>
              <w:bottom w:val="nil"/>
              <w:right w:val="nil"/>
            </w:tcBorders>
            <w:shd w:val="clear" w:color="auto" w:fill="FFFFFF"/>
            <w:vAlign w:val="center"/>
          </w:tcPr>
          <w:p w14:paraId="1AAE93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0.0015</w:t>
            </w:r>
          </w:p>
        </w:tc>
        <w:tc>
          <w:tcPr>
            <w:tcW w:w="0" w:type="auto"/>
            <w:tcBorders>
              <w:top w:val="nil"/>
              <w:left w:val="nil"/>
              <w:bottom w:val="nil"/>
              <w:right w:val="nil"/>
            </w:tcBorders>
            <w:shd w:val="clear" w:color="auto" w:fill="FFFFFF"/>
            <w:vAlign w:val="center"/>
          </w:tcPr>
          <w:p w14:paraId="36514C8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0.0034</w:t>
            </w:r>
          </w:p>
        </w:tc>
        <w:tc>
          <w:tcPr>
            <w:tcW w:w="0" w:type="auto"/>
            <w:tcBorders>
              <w:top w:val="nil"/>
              <w:left w:val="nil"/>
              <w:bottom w:val="nil"/>
              <w:right w:val="nil"/>
            </w:tcBorders>
            <w:shd w:val="clear" w:color="auto" w:fill="FFFFFF"/>
            <w:vAlign w:val="center"/>
          </w:tcPr>
          <w:p w14:paraId="67F120A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0.0014</w:t>
            </w:r>
          </w:p>
        </w:tc>
        <w:tc>
          <w:tcPr>
            <w:tcW w:w="0" w:type="auto"/>
            <w:tcBorders>
              <w:top w:val="nil"/>
              <w:left w:val="nil"/>
              <w:bottom w:val="nil"/>
              <w:right w:val="nil"/>
            </w:tcBorders>
            <w:shd w:val="clear" w:color="auto" w:fill="FFFFFF"/>
            <w:vAlign w:val="center"/>
          </w:tcPr>
          <w:p w14:paraId="287E38B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0.0015</w:t>
            </w:r>
          </w:p>
        </w:tc>
        <w:tc>
          <w:tcPr>
            <w:tcW w:w="0" w:type="auto"/>
            <w:tcBorders>
              <w:top w:val="nil"/>
              <w:left w:val="nil"/>
              <w:bottom w:val="nil"/>
              <w:right w:val="nil"/>
            </w:tcBorders>
            <w:shd w:val="clear" w:color="auto" w:fill="FFFFFF"/>
            <w:vAlign w:val="center"/>
          </w:tcPr>
          <w:p w14:paraId="0D5308C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0.0014</w:t>
            </w:r>
          </w:p>
        </w:tc>
      </w:tr>
      <w:tr w:rsidR="00624AAA" w14:paraId="76831E32" w14:textId="77777777">
        <w:trPr>
          <w:jc w:val="center"/>
        </w:trPr>
        <w:tc>
          <w:tcPr>
            <w:tcW w:w="0" w:type="auto"/>
            <w:vMerge/>
            <w:tcBorders>
              <w:top w:val="nil"/>
              <w:left w:val="nil"/>
              <w:bottom w:val="single" w:sz="12" w:space="0" w:color="000000"/>
              <w:right w:val="nil"/>
            </w:tcBorders>
            <w:shd w:val="clear" w:color="auto" w:fill="FFFFFF"/>
            <w:vAlign w:val="center"/>
          </w:tcPr>
          <w:p w14:paraId="209D2BE4"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0" w:type="auto"/>
            <w:tcBorders>
              <w:top w:val="nil"/>
              <w:left w:val="nil"/>
              <w:bottom w:val="single" w:sz="12" w:space="0" w:color="000000"/>
              <w:right w:val="nil"/>
            </w:tcBorders>
            <w:shd w:val="clear" w:color="auto" w:fill="FFFFFF"/>
            <w:vAlign w:val="center"/>
          </w:tcPr>
          <w:p w14:paraId="48A9935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MAE_oos</w:t>
            </w:r>
            <w:proofErr w:type="spellEnd"/>
          </w:p>
          <w:p w14:paraId="2C8604FD" w14:textId="77777777" w:rsidR="00624AAA" w:rsidRDefault="00624AAA">
            <w:pPr>
              <w:spacing w:line="280" w:lineRule="exact"/>
              <w:rPr>
                <w:rFonts w:ascii="Palatino Linotype" w:eastAsia="Times New Roman" w:hAnsi="Palatino Linotype" w:cs="Times New Roman"/>
                <w:snapToGrid w:val="0"/>
                <w:color w:val="000000"/>
                <w:kern w:val="0"/>
                <w:sz w:val="20"/>
                <w:szCs w:val="21"/>
                <w:lang w:bidi="en-US"/>
              </w:rPr>
            </w:pPr>
          </w:p>
        </w:tc>
        <w:tc>
          <w:tcPr>
            <w:tcW w:w="1701" w:type="dxa"/>
            <w:tcBorders>
              <w:top w:val="nil"/>
              <w:left w:val="nil"/>
              <w:bottom w:val="single" w:sz="12" w:space="0" w:color="000000"/>
              <w:right w:val="nil"/>
            </w:tcBorders>
            <w:shd w:val="clear" w:color="auto" w:fill="FFFFFF"/>
            <w:vAlign w:val="center"/>
          </w:tcPr>
          <w:p w14:paraId="2C7A20F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0.0247</w:t>
            </w:r>
          </w:p>
        </w:tc>
        <w:tc>
          <w:tcPr>
            <w:tcW w:w="0" w:type="auto"/>
            <w:tcBorders>
              <w:top w:val="nil"/>
              <w:left w:val="nil"/>
              <w:bottom w:val="single" w:sz="12" w:space="0" w:color="000000"/>
              <w:right w:val="nil"/>
            </w:tcBorders>
            <w:shd w:val="clear" w:color="auto" w:fill="FFFFFF"/>
            <w:vAlign w:val="center"/>
          </w:tcPr>
          <w:p w14:paraId="644FB9B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0.0331</w:t>
            </w:r>
          </w:p>
        </w:tc>
        <w:tc>
          <w:tcPr>
            <w:tcW w:w="0" w:type="auto"/>
            <w:tcBorders>
              <w:top w:val="nil"/>
              <w:left w:val="nil"/>
              <w:bottom w:val="single" w:sz="12" w:space="0" w:color="000000"/>
              <w:right w:val="nil"/>
            </w:tcBorders>
            <w:shd w:val="clear" w:color="auto" w:fill="FFFFFF"/>
            <w:vAlign w:val="center"/>
          </w:tcPr>
          <w:p w14:paraId="619553D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0.0231</w:t>
            </w:r>
          </w:p>
        </w:tc>
        <w:tc>
          <w:tcPr>
            <w:tcW w:w="0" w:type="auto"/>
            <w:tcBorders>
              <w:top w:val="nil"/>
              <w:left w:val="nil"/>
              <w:bottom w:val="single" w:sz="12" w:space="0" w:color="000000"/>
              <w:right w:val="nil"/>
            </w:tcBorders>
            <w:shd w:val="clear" w:color="auto" w:fill="FFFFFF"/>
            <w:vAlign w:val="center"/>
          </w:tcPr>
          <w:p w14:paraId="38BF14B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0.0240</w:t>
            </w:r>
          </w:p>
        </w:tc>
        <w:tc>
          <w:tcPr>
            <w:tcW w:w="0" w:type="auto"/>
            <w:tcBorders>
              <w:top w:val="nil"/>
              <w:left w:val="nil"/>
              <w:bottom w:val="single" w:sz="12" w:space="0" w:color="000000"/>
              <w:right w:val="nil"/>
            </w:tcBorders>
            <w:shd w:val="clear" w:color="auto" w:fill="FFFFFF"/>
            <w:vAlign w:val="center"/>
          </w:tcPr>
          <w:p w14:paraId="158A524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0.0237</w:t>
            </w:r>
          </w:p>
        </w:tc>
      </w:tr>
    </w:tbl>
    <w:p w14:paraId="1F2A4B0B" w14:textId="77777777" w:rsidR="00624AAA" w:rsidRDefault="00C46345">
      <w:pPr>
        <w:spacing w:line="280" w:lineRule="exact"/>
        <w:rPr>
          <w:rFonts w:ascii="Times New Roman" w:eastAsia="SimSun" w:hAnsi="Times New Roman" w:cs="Times New Roman"/>
        </w:rPr>
      </w:pPr>
      <w:r>
        <w:rPr>
          <w:rFonts w:ascii="Palatino Linotype" w:eastAsia="Times New Roman" w:hAnsi="Palatino Linotype" w:cs="Times New Roman"/>
          <w:snapToGrid w:val="0"/>
          <w:color w:val="000000"/>
          <w:kern w:val="0"/>
          <w:sz w:val="18"/>
          <w:szCs w:val="20"/>
          <w:lang w:bidi="en-US"/>
        </w:rPr>
        <w:t>(Source: Own elaboration based on the main context of the paper).</w:t>
      </w:r>
    </w:p>
    <w:p w14:paraId="348DA79C" w14:textId="77777777" w:rsidR="00624AAA" w:rsidRDefault="00C46345">
      <w:pPr>
        <w:pStyle w:val="MDPI22heading2"/>
        <w:spacing w:before="240"/>
        <w:ind w:left="0"/>
        <w:rPr>
          <w:lang w:eastAsia="zh-CN"/>
        </w:rPr>
      </w:pPr>
      <w:r>
        <w:rPr>
          <w:rFonts w:hint="eastAsia"/>
          <w:lang w:eastAsia="zh-CN"/>
        </w:rPr>
        <w:t>5.3 Feature Importance Comparison Analysis</w:t>
      </w:r>
    </w:p>
    <w:p w14:paraId="3963D181" w14:textId="77777777" w:rsidR="00624AAA" w:rsidRDefault="00C46345">
      <w:pPr>
        <w:pStyle w:val="MDPI23heading3"/>
        <w:ind w:left="0"/>
        <w:rPr>
          <w:lang w:eastAsia="zh-CN"/>
        </w:rPr>
      </w:pPr>
      <w:r>
        <w:rPr>
          <w:rFonts w:hint="eastAsia"/>
          <w:lang w:eastAsia="zh-CN"/>
        </w:rPr>
        <w:t>5.3.1 Inter-group Importance Comparison</w:t>
      </w:r>
    </w:p>
    <w:p w14:paraId="456926C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 xml:space="preserve">Relative feature importance described in Table 5, indicates different predictive hierarchies in SGR and </w:t>
      </w:r>
      <w:r>
        <w:rPr>
          <w:rFonts w:ascii="Palatino Linotype" w:eastAsia="Times New Roman" w:hAnsi="Palatino Linotype" w:cs="Times New Roman" w:hint="eastAsia"/>
          <w:snapToGrid w:val="0"/>
          <w:color w:val="000000"/>
          <w:kern w:val="0"/>
          <w:sz w:val="20"/>
          <w:szCs w:val="21"/>
          <w:lang w:bidi="en-US"/>
        </w:rPr>
        <w:t>PV. For both financial performance and R&amp;D investment</w:t>
      </w:r>
      <w:r>
        <w:rPr>
          <w:rFonts w:ascii="Palatino Linotype" w:eastAsia="Times New Roman" w:hAnsi="Palatino Linotype" w:cs="Times New Roman"/>
          <w:snapToGrid w:val="0"/>
          <w:color w:val="000000"/>
          <w:kern w:val="0"/>
          <w:sz w:val="20"/>
          <w:szCs w:val="21"/>
          <w:lang w:bidi="en-US"/>
        </w:rPr>
        <w:t>, the</w:t>
      </w:r>
      <w:r>
        <w:rPr>
          <w:rFonts w:ascii="Palatino Linotype" w:eastAsia="Times New Roman" w:hAnsi="Palatino Linotype" w:cs="Times New Roman" w:hint="eastAsia"/>
          <w:snapToGrid w:val="0"/>
          <w:color w:val="000000"/>
          <w:kern w:val="0"/>
          <w:sz w:val="20"/>
          <w:szCs w:val="21"/>
          <w:lang w:bidi="en-US"/>
        </w:rPr>
        <w:t xml:space="preserve"> hierarchy of importance rankings are largely consistent across SGR and PV. The growth rate of ROE (GROE) and intensity of R&amp;D expenditures (RDP) are absolute</w:t>
      </w:r>
      <w:r>
        <w:rPr>
          <w:rFonts w:ascii="Palatino Linotype" w:eastAsia="Times New Roman" w:hAnsi="Palatino Linotype" w:cs="Times New Roman"/>
          <w:snapToGrid w:val="0"/>
          <w:color w:val="000000"/>
          <w:kern w:val="0"/>
          <w:sz w:val="20"/>
          <w:szCs w:val="21"/>
          <w:lang w:bidi="en-US"/>
        </w:rPr>
        <w:t>ly</w:t>
      </w:r>
      <w:r>
        <w:rPr>
          <w:rFonts w:ascii="Palatino Linotype" w:eastAsia="Times New Roman" w:hAnsi="Palatino Linotype" w:cs="Times New Roman" w:hint="eastAsia"/>
          <w:snapToGrid w:val="0"/>
          <w:color w:val="000000"/>
          <w:kern w:val="0"/>
          <w:sz w:val="20"/>
          <w:szCs w:val="21"/>
          <w:lang w:bidi="en-US"/>
        </w:rPr>
        <w:t xml:space="preserve"> most important predictors in both SGR</w:t>
      </w:r>
      <w:r>
        <w:rPr>
          <w:rFonts w:ascii="Palatino Linotype" w:eastAsia="Times New Roman" w:hAnsi="Palatino Linotype" w:cs="Times New Roman" w:hint="eastAsia"/>
          <w:snapToGrid w:val="0"/>
          <w:color w:val="000000"/>
          <w:kern w:val="0"/>
          <w:sz w:val="20"/>
          <w:szCs w:val="21"/>
          <w:lang w:bidi="en-US"/>
        </w:rPr>
        <w:t xml:space="preserve"> and PV; indicating that monetary profitability and commitment to innovate with R&amp;D are the decisive factor</w:t>
      </w:r>
      <w:r>
        <w:rPr>
          <w:rFonts w:ascii="Palatino Linotype" w:eastAsia="Times New Roman" w:hAnsi="Palatino Linotype" w:cs="Times New Roman"/>
          <w:snapToGrid w:val="0"/>
          <w:color w:val="000000"/>
          <w:kern w:val="0"/>
          <w:sz w:val="20"/>
          <w:szCs w:val="21"/>
          <w:lang w:bidi="en-US"/>
        </w:rPr>
        <w:t>s</w:t>
      </w:r>
      <w:r>
        <w:rPr>
          <w:rFonts w:ascii="Palatino Linotype" w:eastAsia="Times New Roman" w:hAnsi="Palatino Linotype" w:cs="Times New Roman" w:hint="eastAsia"/>
          <w:snapToGrid w:val="0"/>
          <w:color w:val="000000"/>
          <w:kern w:val="0"/>
          <w:sz w:val="20"/>
          <w:szCs w:val="21"/>
          <w:lang w:bidi="en-US"/>
        </w:rPr>
        <w:t xml:space="preserve"> in their relative features. </w:t>
      </w:r>
    </w:p>
    <w:p w14:paraId="6E0206E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The rankings for green development and environmental supply chain management diverge on the sustainability factor. Gre</w:t>
      </w:r>
      <w:r>
        <w:rPr>
          <w:rFonts w:ascii="Palatino Linotype" w:eastAsia="Times New Roman" w:hAnsi="Palatino Linotype" w:cs="Times New Roman" w:hint="eastAsia"/>
          <w:snapToGrid w:val="0"/>
          <w:color w:val="000000"/>
          <w:kern w:val="0"/>
          <w:sz w:val="20"/>
          <w:szCs w:val="21"/>
          <w:lang w:bidi="en-US"/>
        </w:rPr>
        <w:t>en transformation (</w:t>
      </w:r>
      <w:proofErr w:type="spellStart"/>
      <w:r>
        <w:rPr>
          <w:rFonts w:ascii="Palatino Linotype" w:eastAsia="Times New Roman" w:hAnsi="Palatino Linotype" w:cs="Times New Roman" w:hint="eastAsia"/>
          <w:snapToGrid w:val="0"/>
          <w:color w:val="000000"/>
          <w:kern w:val="0"/>
          <w:sz w:val="20"/>
          <w:szCs w:val="21"/>
          <w:lang w:bidi="en-US"/>
        </w:rPr>
        <w:t>greentran</w:t>
      </w:r>
      <w:proofErr w:type="spellEnd"/>
      <w:r>
        <w:rPr>
          <w:rFonts w:ascii="Palatino Linotype" w:eastAsia="Times New Roman" w:hAnsi="Palatino Linotype" w:cs="Times New Roman" w:hint="eastAsia"/>
          <w:snapToGrid w:val="0"/>
          <w:color w:val="000000"/>
          <w:kern w:val="0"/>
          <w:sz w:val="20"/>
          <w:szCs w:val="21"/>
          <w:lang w:bidi="en-US"/>
        </w:rPr>
        <w:t>) is the most significant predictor for SGR and point</w:t>
      </w:r>
      <w:r>
        <w:rPr>
          <w:rFonts w:ascii="Palatino Linotype" w:eastAsia="Times New Roman" w:hAnsi="Palatino Linotype" w:cs="Times New Roman"/>
          <w:snapToGrid w:val="0"/>
          <w:color w:val="000000"/>
          <w:kern w:val="0"/>
          <w:sz w:val="20"/>
          <w:szCs w:val="21"/>
          <w:lang w:bidi="en-US"/>
        </w:rPr>
        <w:t>s</w:t>
      </w:r>
      <w:r>
        <w:rPr>
          <w:rFonts w:ascii="Palatino Linotype" w:eastAsia="Times New Roman" w:hAnsi="Palatino Linotype" w:cs="Times New Roman" w:hint="eastAsia"/>
          <w:snapToGrid w:val="0"/>
          <w:color w:val="000000"/>
          <w:kern w:val="0"/>
          <w:sz w:val="20"/>
          <w:szCs w:val="21"/>
          <w:lang w:bidi="en-US"/>
        </w:rPr>
        <w:t xml:space="preserve"> towards a long-term structural change in a sector's growth trajectory. In contrast, green investment (</w:t>
      </w:r>
      <w:proofErr w:type="spellStart"/>
      <w:r>
        <w:rPr>
          <w:rFonts w:ascii="Palatino Linotype" w:eastAsia="Times New Roman" w:hAnsi="Palatino Linotype" w:cs="Times New Roman" w:hint="eastAsia"/>
          <w:snapToGrid w:val="0"/>
          <w:color w:val="000000"/>
          <w:kern w:val="0"/>
          <w:sz w:val="20"/>
          <w:szCs w:val="21"/>
          <w:lang w:bidi="en-US"/>
        </w:rPr>
        <w:t>greeninvest</w:t>
      </w:r>
      <w:proofErr w:type="spellEnd"/>
      <w:r>
        <w:rPr>
          <w:rFonts w:ascii="Palatino Linotype" w:eastAsia="Times New Roman" w:hAnsi="Palatino Linotype" w:cs="Times New Roman" w:hint="eastAsia"/>
          <w:snapToGrid w:val="0"/>
          <w:color w:val="000000"/>
          <w:kern w:val="0"/>
          <w:sz w:val="20"/>
          <w:szCs w:val="21"/>
          <w:lang w:bidi="en-US"/>
        </w:rPr>
        <w:t>) is the most important sustainability factor for reducing p</w:t>
      </w:r>
      <w:r>
        <w:rPr>
          <w:rFonts w:ascii="Palatino Linotype" w:eastAsia="Times New Roman" w:hAnsi="Palatino Linotype" w:cs="Times New Roman" w:hint="eastAsia"/>
          <w:snapToGrid w:val="0"/>
          <w:color w:val="000000"/>
          <w:kern w:val="0"/>
          <w:sz w:val="20"/>
          <w:szCs w:val="21"/>
          <w:lang w:bidi="en-US"/>
        </w:rPr>
        <w:t>rofit volume volatility</w:t>
      </w:r>
      <w:r>
        <w:rPr>
          <w:rFonts w:ascii="Palatino Linotype" w:eastAsia="Times New Roman" w:hAnsi="Palatino Linotype" w:cs="Times New Roman"/>
          <w:snapToGrid w:val="0"/>
          <w:color w:val="000000"/>
          <w:kern w:val="0"/>
          <w:sz w:val="20"/>
          <w:szCs w:val="21"/>
          <w:lang w:bidi="en-US"/>
        </w:rPr>
        <w:t xml:space="preserve"> </w:t>
      </w:r>
      <w:r>
        <w:rPr>
          <w:rFonts w:ascii="Palatino Linotype" w:eastAsia="Times New Roman" w:hAnsi="Palatino Linotype" w:cs="Times New Roman" w:hint="eastAsia"/>
          <w:snapToGrid w:val="0"/>
          <w:color w:val="000000"/>
          <w:kern w:val="0"/>
          <w:sz w:val="20"/>
          <w:szCs w:val="21"/>
          <w:lang w:bidi="en-US"/>
        </w:rPr>
        <w:t>(suggesting the offer provides returns). In a similar way</w:t>
      </w:r>
      <w:r>
        <w:rPr>
          <w:rFonts w:ascii="Palatino Linotype" w:eastAsia="Times New Roman" w:hAnsi="Palatino Linotype" w:cs="Times New Roman"/>
          <w:snapToGrid w:val="0"/>
          <w:color w:val="000000"/>
          <w:kern w:val="0"/>
          <w:sz w:val="20"/>
          <w:szCs w:val="21"/>
          <w:lang w:bidi="en-US"/>
        </w:rPr>
        <w:t>,</w:t>
      </w:r>
      <w:r>
        <w:rPr>
          <w:rFonts w:ascii="Palatino Linotype" w:eastAsia="Times New Roman" w:hAnsi="Palatino Linotype" w:cs="Times New Roman" w:hint="eastAsia"/>
          <w:snapToGrid w:val="0"/>
          <w:color w:val="000000"/>
          <w:kern w:val="0"/>
          <w:sz w:val="20"/>
          <w:szCs w:val="21"/>
          <w:lang w:bidi="en-US"/>
        </w:rPr>
        <w:t xml:space="preserve"> supply chain concentration (CENSU) is most significant for SG_R reducing growth cost uncertainty, and managing accounts payable (APT) focuses on the profit's (PV) main drive</w:t>
      </w:r>
      <w:r>
        <w:rPr>
          <w:rFonts w:ascii="Palatino Linotype" w:eastAsia="Times New Roman" w:hAnsi="Palatino Linotype" w:cs="Times New Roman" w:hint="eastAsia"/>
          <w:snapToGrid w:val="0"/>
          <w:color w:val="000000"/>
          <w:kern w:val="0"/>
          <w:sz w:val="20"/>
          <w:szCs w:val="21"/>
          <w:lang w:bidi="en-US"/>
        </w:rPr>
        <w:t>r, i.e., cash flow management to stabilize profits. These findings point to different strategic levers</w:t>
      </w:r>
      <w:r>
        <w:rPr>
          <w:rFonts w:ascii="Palatino Linotype" w:eastAsia="Times New Roman" w:hAnsi="Palatino Linotype" w:cs="Times New Roman"/>
          <w:snapToGrid w:val="0"/>
          <w:color w:val="000000"/>
          <w:kern w:val="0"/>
          <w:sz w:val="20"/>
          <w:szCs w:val="21"/>
          <w:lang w:bidi="en-US"/>
        </w:rPr>
        <w:t xml:space="preserve"> that</w:t>
      </w:r>
      <w:r>
        <w:rPr>
          <w:rFonts w:ascii="Palatino Linotype" w:eastAsia="Times New Roman" w:hAnsi="Palatino Linotype" w:cs="Times New Roman" w:hint="eastAsia"/>
          <w:snapToGrid w:val="0"/>
          <w:color w:val="000000"/>
          <w:kern w:val="0"/>
          <w:sz w:val="20"/>
          <w:szCs w:val="21"/>
          <w:lang w:bidi="en-US"/>
        </w:rPr>
        <w:t xml:space="preserve"> need to be deployed to drive growth rather than simply a change to navigate or stabilize operation.</w:t>
      </w:r>
    </w:p>
    <w:p w14:paraId="5ED06905" w14:textId="77777777" w:rsidR="00624AAA" w:rsidRDefault="00624AAA">
      <w:pPr>
        <w:spacing w:line="360" w:lineRule="auto"/>
        <w:rPr>
          <w:rFonts w:ascii="Times New Roman Regular" w:hAnsi="Times New Roman Regular" w:cs="Times New Roman Regular"/>
          <w:color w:val="000000" w:themeColor="text1"/>
          <w:sz w:val="24"/>
        </w:rPr>
      </w:pPr>
    </w:p>
    <w:p w14:paraId="7C59C432" w14:textId="77777777" w:rsidR="00624AAA" w:rsidRDefault="00C46345">
      <w:pPr>
        <w:pStyle w:val="MDPI41tablecaption"/>
        <w:ind w:left="0"/>
        <w:rPr>
          <w:b/>
          <w:sz w:val="20"/>
          <w:szCs w:val="20"/>
          <w:lang w:eastAsia="zh-CN"/>
        </w:rPr>
      </w:pPr>
      <w:r>
        <w:rPr>
          <w:b/>
          <w:sz w:val="20"/>
          <w:szCs w:val="20"/>
          <w:lang w:eastAsia="zh-CN"/>
        </w:rPr>
        <w:t xml:space="preserve">Table 5. </w:t>
      </w:r>
      <w:r>
        <w:rPr>
          <w:bCs/>
          <w:sz w:val="20"/>
          <w:szCs w:val="20"/>
          <w:lang w:eastAsia="zh-CN"/>
        </w:rPr>
        <w:t>Ranking of variable predictive importa</w:t>
      </w:r>
      <w:r>
        <w:rPr>
          <w:bCs/>
          <w:sz w:val="20"/>
          <w:szCs w:val="20"/>
          <w:lang w:eastAsia="zh-CN"/>
        </w:rPr>
        <w:t>nce</w:t>
      </w:r>
    </w:p>
    <w:tbl>
      <w:tblPr>
        <w:tblW w:w="5000" w:type="pct"/>
        <w:tblLayout w:type="fixed"/>
        <w:tblLook w:val="04A0" w:firstRow="1" w:lastRow="0" w:firstColumn="1" w:lastColumn="0" w:noHBand="0" w:noVBand="1"/>
      </w:tblPr>
      <w:tblGrid>
        <w:gridCol w:w="797"/>
        <w:gridCol w:w="1834"/>
        <w:gridCol w:w="1756"/>
        <w:gridCol w:w="1588"/>
        <w:gridCol w:w="2331"/>
      </w:tblGrid>
      <w:tr w:rsidR="00624AAA" w14:paraId="21BFE2B1" w14:textId="77777777">
        <w:trPr>
          <w:trHeight w:val="288"/>
        </w:trPr>
        <w:tc>
          <w:tcPr>
            <w:tcW w:w="5000" w:type="pct"/>
            <w:gridSpan w:val="5"/>
            <w:tcBorders>
              <w:top w:val="single" w:sz="12" w:space="0" w:color="000000"/>
              <w:left w:val="nil"/>
              <w:bottom w:val="single" w:sz="4" w:space="0" w:color="000000"/>
              <w:right w:val="nil"/>
              <w:tl2br w:val="nil"/>
            </w:tcBorders>
            <w:shd w:val="clear" w:color="auto" w:fill="FFFFFF"/>
            <w:noWrap/>
          </w:tcPr>
          <w:p w14:paraId="1AC8BB2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proofErr w:type="gramStart"/>
            <w:r>
              <w:rPr>
                <w:rFonts w:ascii="Palatino Linotype" w:eastAsia="Times New Roman" w:hAnsi="Palatino Linotype" w:cs="Times New Roman"/>
                <w:snapToGrid w:val="0"/>
                <w:color w:val="000000"/>
                <w:kern w:val="0"/>
                <w:sz w:val="20"/>
                <w:szCs w:val="20"/>
                <w:lang w:bidi="en-US"/>
              </w:rPr>
              <w:t>PanalA:Importance</w:t>
            </w:r>
            <w:proofErr w:type="gramEnd"/>
            <w:r>
              <w:rPr>
                <w:rFonts w:ascii="Palatino Linotype" w:eastAsia="Times New Roman" w:hAnsi="Palatino Linotype" w:cs="Times New Roman"/>
                <w:snapToGrid w:val="0"/>
                <w:color w:val="000000"/>
                <w:kern w:val="0"/>
                <w:sz w:val="20"/>
                <w:szCs w:val="20"/>
                <w:lang w:bidi="en-US"/>
              </w:rPr>
              <w:t>_SGR</w:t>
            </w:r>
            <w:proofErr w:type="spellEnd"/>
          </w:p>
        </w:tc>
      </w:tr>
      <w:tr w:rsidR="00624AAA" w14:paraId="069BD920" w14:textId="77777777">
        <w:trPr>
          <w:trHeight w:val="288"/>
        </w:trPr>
        <w:tc>
          <w:tcPr>
            <w:tcW w:w="480" w:type="pct"/>
            <w:tcBorders>
              <w:top w:val="single" w:sz="4" w:space="0" w:color="000000"/>
              <w:left w:val="nil"/>
              <w:bottom w:val="nil"/>
              <w:right w:val="nil"/>
            </w:tcBorders>
            <w:shd w:val="clear" w:color="auto" w:fill="FFFFFF"/>
            <w:noWrap/>
            <w:vAlign w:val="bottom"/>
          </w:tcPr>
          <w:p w14:paraId="596863E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Rank</w:t>
            </w:r>
          </w:p>
        </w:tc>
        <w:tc>
          <w:tcPr>
            <w:tcW w:w="1104" w:type="pct"/>
            <w:tcBorders>
              <w:top w:val="single" w:sz="4" w:space="0" w:color="000000"/>
              <w:left w:val="nil"/>
              <w:bottom w:val="nil"/>
              <w:right w:val="nil"/>
            </w:tcBorders>
            <w:shd w:val="clear" w:color="auto" w:fill="FFFFFF"/>
            <w:noWrap/>
            <w:vAlign w:val="bottom"/>
          </w:tcPr>
          <w:p w14:paraId="14CCCF2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financial performance</w:t>
            </w:r>
          </w:p>
        </w:tc>
        <w:tc>
          <w:tcPr>
            <w:tcW w:w="1057" w:type="pct"/>
            <w:tcBorders>
              <w:top w:val="single" w:sz="4" w:space="0" w:color="000000"/>
              <w:left w:val="nil"/>
              <w:bottom w:val="nil"/>
              <w:right w:val="nil"/>
            </w:tcBorders>
            <w:shd w:val="clear" w:color="auto" w:fill="FFFFFF"/>
            <w:noWrap/>
            <w:vAlign w:val="bottom"/>
          </w:tcPr>
          <w:p w14:paraId="10342D9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green development</w:t>
            </w:r>
          </w:p>
        </w:tc>
        <w:tc>
          <w:tcPr>
            <w:tcW w:w="956" w:type="pct"/>
            <w:tcBorders>
              <w:top w:val="single" w:sz="4" w:space="0" w:color="000000"/>
              <w:left w:val="nil"/>
              <w:bottom w:val="nil"/>
              <w:right w:val="nil"/>
            </w:tcBorders>
            <w:shd w:val="clear" w:color="auto" w:fill="FFFFFF"/>
            <w:noWrap/>
            <w:vAlign w:val="bottom"/>
          </w:tcPr>
          <w:p w14:paraId="3CC6B21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R&amp;D investment</w:t>
            </w:r>
          </w:p>
        </w:tc>
        <w:tc>
          <w:tcPr>
            <w:tcW w:w="1400" w:type="pct"/>
            <w:tcBorders>
              <w:top w:val="single" w:sz="4" w:space="0" w:color="000000"/>
              <w:left w:val="nil"/>
              <w:bottom w:val="nil"/>
              <w:right w:val="nil"/>
            </w:tcBorders>
            <w:shd w:val="clear" w:color="auto" w:fill="FFFFFF"/>
            <w:noWrap/>
            <w:vAlign w:val="bottom"/>
          </w:tcPr>
          <w:p w14:paraId="2DAAA58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supply chain management</w:t>
            </w:r>
          </w:p>
        </w:tc>
      </w:tr>
      <w:tr w:rsidR="00624AAA" w14:paraId="2CFD4F54" w14:textId="77777777">
        <w:trPr>
          <w:trHeight w:val="288"/>
        </w:trPr>
        <w:tc>
          <w:tcPr>
            <w:tcW w:w="480" w:type="pct"/>
            <w:tcBorders>
              <w:top w:val="nil"/>
              <w:left w:val="nil"/>
              <w:bottom w:val="nil"/>
              <w:right w:val="nil"/>
            </w:tcBorders>
            <w:shd w:val="clear" w:color="auto" w:fill="FFFFFF"/>
            <w:noWrap/>
            <w:vAlign w:val="bottom"/>
          </w:tcPr>
          <w:p w14:paraId="23E547E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w:t>
            </w:r>
          </w:p>
        </w:tc>
        <w:tc>
          <w:tcPr>
            <w:tcW w:w="1104" w:type="pct"/>
            <w:tcBorders>
              <w:top w:val="nil"/>
              <w:left w:val="nil"/>
              <w:bottom w:val="nil"/>
              <w:right w:val="nil"/>
            </w:tcBorders>
            <w:shd w:val="clear" w:color="auto" w:fill="FFFFFF"/>
            <w:noWrap/>
            <w:vAlign w:val="bottom"/>
          </w:tcPr>
          <w:p w14:paraId="2E03B03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GROE</w:t>
            </w:r>
          </w:p>
        </w:tc>
        <w:tc>
          <w:tcPr>
            <w:tcW w:w="1057" w:type="pct"/>
            <w:tcBorders>
              <w:top w:val="nil"/>
              <w:left w:val="nil"/>
              <w:bottom w:val="nil"/>
              <w:right w:val="nil"/>
            </w:tcBorders>
            <w:shd w:val="clear" w:color="auto" w:fill="FFFFFF"/>
            <w:noWrap/>
            <w:vAlign w:val="bottom"/>
          </w:tcPr>
          <w:p w14:paraId="5E8B5B1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greentran</w:t>
            </w:r>
            <w:proofErr w:type="spellEnd"/>
          </w:p>
        </w:tc>
        <w:tc>
          <w:tcPr>
            <w:tcW w:w="956" w:type="pct"/>
            <w:tcBorders>
              <w:top w:val="nil"/>
              <w:left w:val="nil"/>
              <w:bottom w:val="nil"/>
              <w:right w:val="nil"/>
            </w:tcBorders>
            <w:shd w:val="clear" w:color="auto" w:fill="FFFFFF"/>
            <w:noWrap/>
            <w:vAlign w:val="bottom"/>
          </w:tcPr>
          <w:p w14:paraId="23331F0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RDP</w:t>
            </w:r>
          </w:p>
        </w:tc>
        <w:tc>
          <w:tcPr>
            <w:tcW w:w="1400" w:type="pct"/>
            <w:tcBorders>
              <w:top w:val="nil"/>
              <w:left w:val="nil"/>
              <w:bottom w:val="nil"/>
              <w:right w:val="nil"/>
            </w:tcBorders>
            <w:shd w:val="clear" w:color="auto" w:fill="FFFFFF"/>
            <w:noWrap/>
            <w:vAlign w:val="bottom"/>
          </w:tcPr>
          <w:p w14:paraId="7B3B4CC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CENSU</w:t>
            </w:r>
          </w:p>
        </w:tc>
      </w:tr>
      <w:tr w:rsidR="00624AAA" w14:paraId="4B496F31" w14:textId="77777777">
        <w:trPr>
          <w:trHeight w:val="288"/>
        </w:trPr>
        <w:tc>
          <w:tcPr>
            <w:tcW w:w="480" w:type="pct"/>
            <w:tcBorders>
              <w:top w:val="nil"/>
              <w:left w:val="nil"/>
              <w:bottom w:val="nil"/>
              <w:right w:val="nil"/>
            </w:tcBorders>
            <w:shd w:val="clear" w:color="auto" w:fill="FFFFFF"/>
            <w:noWrap/>
            <w:vAlign w:val="bottom"/>
          </w:tcPr>
          <w:p w14:paraId="0CD905B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2</w:t>
            </w:r>
          </w:p>
        </w:tc>
        <w:tc>
          <w:tcPr>
            <w:tcW w:w="1104" w:type="pct"/>
            <w:tcBorders>
              <w:top w:val="nil"/>
              <w:left w:val="nil"/>
              <w:bottom w:val="nil"/>
              <w:right w:val="nil"/>
            </w:tcBorders>
            <w:shd w:val="clear" w:color="auto" w:fill="FFFFFF"/>
            <w:noWrap/>
            <w:vAlign w:val="bottom"/>
          </w:tcPr>
          <w:p w14:paraId="7CBBDEF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GPF</w:t>
            </w:r>
          </w:p>
        </w:tc>
        <w:tc>
          <w:tcPr>
            <w:tcW w:w="1057" w:type="pct"/>
            <w:tcBorders>
              <w:top w:val="nil"/>
              <w:left w:val="nil"/>
              <w:bottom w:val="nil"/>
              <w:right w:val="nil"/>
            </w:tcBorders>
            <w:shd w:val="clear" w:color="auto" w:fill="FFFFFF"/>
            <w:noWrap/>
            <w:vAlign w:val="bottom"/>
          </w:tcPr>
          <w:p w14:paraId="4E64B19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greeninvest</w:t>
            </w:r>
            <w:proofErr w:type="spellEnd"/>
          </w:p>
        </w:tc>
        <w:tc>
          <w:tcPr>
            <w:tcW w:w="956" w:type="pct"/>
            <w:tcBorders>
              <w:top w:val="nil"/>
              <w:left w:val="nil"/>
              <w:bottom w:val="nil"/>
              <w:right w:val="nil"/>
            </w:tcBorders>
            <w:shd w:val="clear" w:color="auto" w:fill="FFFFFF"/>
            <w:noWrap/>
            <w:vAlign w:val="bottom"/>
          </w:tcPr>
          <w:p w14:paraId="07FEF42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RDQ</w:t>
            </w:r>
          </w:p>
        </w:tc>
        <w:tc>
          <w:tcPr>
            <w:tcW w:w="1400" w:type="pct"/>
            <w:tcBorders>
              <w:top w:val="nil"/>
              <w:left w:val="nil"/>
              <w:bottom w:val="nil"/>
              <w:right w:val="nil"/>
            </w:tcBorders>
            <w:shd w:val="clear" w:color="auto" w:fill="FFFFFF"/>
            <w:noWrap/>
            <w:vAlign w:val="bottom"/>
          </w:tcPr>
          <w:p w14:paraId="5AE982B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ART</w:t>
            </w:r>
          </w:p>
        </w:tc>
      </w:tr>
      <w:tr w:rsidR="00624AAA" w14:paraId="2F2D1CAA" w14:textId="77777777">
        <w:trPr>
          <w:trHeight w:val="288"/>
        </w:trPr>
        <w:tc>
          <w:tcPr>
            <w:tcW w:w="480" w:type="pct"/>
            <w:tcBorders>
              <w:top w:val="nil"/>
              <w:left w:val="nil"/>
              <w:bottom w:val="single" w:sz="12" w:space="0" w:color="000000"/>
              <w:right w:val="nil"/>
            </w:tcBorders>
            <w:shd w:val="clear" w:color="auto" w:fill="FFFFFF"/>
            <w:noWrap/>
            <w:vAlign w:val="bottom"/>
          </w:tcPr>
          <w:p w14:paraId="5B3B7F2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lastRenderedPageBreak/>
              <w:t>3</w:t>
            </w:r>
          </w:p>
        </w:tc>
        <w:tc>
          <w:tcPr>
            <w:tcW w:w="1104" w:type="pct"/>
            <w:tcBorders>
              <w:top w:val="nil"/>
              <w:left w:val="nil"/>
              <w:bottom w:val="single" w:sz="12" w:space="0" w:color="000000"/>
              <w:right w:val="nil"/>
            </w:tcBorders>
            <w:shd w:val="clear" w:color="auto" w:fill="FFFFFF"/>
            <w:noWrap/>
            <w:vAlign w:val="bottom"/>
          </w:tcPr>
          <w:p w14:paraId="148A82B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LT</w:t>
            </w:r>
          </w:p>
        </w:tc>
        <w:tc>
          <w:tcPr>
            <w:tcW w:w="1057" w:type="pct"/>
            <w:tcBorders>
              <w:top w:val="nil"/>
              <w:left w:val="nil"/>
              <w:bottom w:val="single" w:sz="12" w:space="0" w:color="000000"/>
              <w:right w:val="nil"/>
            </w:tcBorders>
            <w:shd w:val="clear" w:color="auto" w:fill="FFFFFF"/>
            <w:noWrap/>
            <w:vAlign w:val="bottom"/>
          </w:tcPr>
          <w:p w14:paraId="20C493A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erse</w:t>
            </w:r>
            <w:proofErr w:type="spellEnd"/>
          </w:p>
        </w:tc>
        <w:tc>
          <w:tcPr>
            <w:tcW w:w="956" w:type="pct"/>
            <w:tcBorders>
              <w:top w:val="nil"/>
              <w:left w:val="nil"/>
              <w:bottom w:val="single" w:sz="12" w:space="0" w:color="000000"/>
              <w:right w:val="nil"/>
            </w:tcBorders>
            <w:shd w:val="clear" w:color="auto" w:fill="FFFFFF"/>
            <w:noWrap/>
            <w:vAlign w:val="bottom"/>
          </w:tcPr>
          <w:p w14:paraId="3060140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RDC</w:t>
            </w:r>
          </w:p>
        </w:tc>
        <w:tc>
          <w:tcPr>
            <w:tcW w:w="1400" w:type="pct"/>
            <w:tcBorders>
              <w:top w:val="nil"/>
              <w:left w:val="nil"/>
              <w:bottom w:val="single" w:sz="12" w:space="0" w:color="000000"/>
              <w:right w:val="nil"/>
            </w:tcBorders>
            <w:shd w:val="clear" w:color="auto" w:fill="FFFFFF"/>
            <w:noWrap/>
            <w:vAlign w:val="bottom"/>
          </w:tcPr>
          <w:p w14:paraId="70EC2AA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APT</w:t>
            </w:r>
          </w:p>
        </w:tc>
      </w:tr>
      <w:tr w:rsidR="00624AAA" w14:paraId="624B3B57" w14:textId="77777777">
        <w:trPr>
          <w:trHeight w:val="288"/>
        </w:trPr>
        <w:tc>
          <w:tcPr>
            <w:tcW w:w="5000" w:type="pct"/>
            <w:gridSpan w:val="5"/>
            <w:tcBorders>
              <w:top w:val="single" w:sz="12" w:space="0" w:color="000000"/>
              <w:left w:val="nil"/>
              <w:bottom w:val="single" w:sz="4" w:space="0" w:color="000000"/>
              <w:right w:val="nil"/>
              <w:tl2br w:val="nil"/>
            </w:tcBorders>
            <w:shd w:val="clear" w:color="auto" w:fill="FFFFFF"/>
            <w:noWrap/>
          </w:tcPr>
          <w:p w14:paraId="70B1710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proofErr w:type="gramStart"/>
            <w:r>
              <w:rPr>
                <w:rFonts w:ascii="Palatino Linotype" w:eastAsia="Times New Roman" w:hAnsi="Palatino Linotype" w:cs="Times New Roman"/>
                <w:snapToGrid w:val="0"/>
                <w:color w:val="000000"/>
                <w:kern w:val="0"/>
                <w:sz w:val="20"/>
                <w:szCs w:val="20"/>
                <w:lang w:bidi="en-US"/>
              </w:rPr>
              <w:t>PanalB:Importance</w:t>
            </w:r>
            <w:proofErr w:type="gramEnd"/>
            <w:r>
              <w:rPr>
                <w:rFonts w:ascii="Palatino Linotype" w:eastAsia="Times New Roman" w:hAnsi="Palatino Linotype" w:cs="Times New Roman"/>
                <w:snapToGrid w:val="0"/>
                <w:color w:val="000000"/>
                <w:kern w:val="0"/>
                <w:sz w:val="20"/>
                <w:szCs w:val="20"/>
                <w:lang w:bidi="en-US"/>
              </w:rPr>
              <w:t>_PV</w:t>
            </w:r>
            <w:proofErr w:type="spellEnd"/>
          </w:p>
        </w:tc>
      </w:tr>
      <w:tr w:rsidR="00624AAA" w14:paraId="51177148" w14:textId="77777777">
        <w:trPr>
          <w:trHeight w:val="288"/>
        </w:trPr>
        <w:tc>
          <w:tcPr>
            <w:tcW w:w="480" w:type="pct"/>
            <w:tcBorders>
              <w:top w:val="single" w:sz="4" w:space="0" w:color="000000"/>
              <w:left w:val="nil"/>
              <w:bottom w:val="nil"/>
              <w:right w:val="nil"/>
            </w:tcBorders>
            <w:shd w:val="clear" w:color="auto" w:fill="FFFFFF"/>
            <w:noWrap/>
            <w:vAlign w:val="bottom"/>
          </w:tcPr>
          <w:p w14:paraId="7B30723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Rank</w:t>
            </w:r>
          </w:p>
        </w:tc>
        <w:tc>
          <w:tcPr>
            <w:tcW w:w="1882" w:type="dxa"/>
            <w:tcBorders>
              <w:top w:val="single" w:sz="4" w:space="0" w:color="000000"/>
              <w:left w:val="nil"/>
              <w:bottom w:val="nil"/>
              <w:right w:val="nil"/>
            </w:tcBorders>
            <w:shd w:val="clear" w:color="auto" w:fill="FFFFFF"/>
            <w:noWrap/>
            <w:vAlign w:val="bottom"/>
          </w:tcPr>
          <w:p w14:paraId="0C9A7A4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financial performance</w:t>
            </w:r>
          </w:p>
        </w:tc>
        <w:tc>
          <w:tcPr>
            <w:tcW w:w="1802" w:type="dxa"/>
            <w:tcBorders>
              <w:top w:val="single" w:sz="4" w:space="0" w:color="000000"/>
              <w:left w:val="nil"/>
              <w:bottom w:val="nil"/>
              <w:right w:val="nil"/>
            </w:tcBorders>
            <w:shd w:val="clear" w:color="auto" w:fill="FFFFFF"/>
            <w:noWrap/>
            <w:vAlign w:val="bottom"/>
          </w:tcPr>
          <w:p w14:paraId="1D50D42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green </w:t>
            </w:r>
            <w:r>
              <w:rPr>
                <w:rFonts w:ascii="Palatino Linotype" w:eastAsia="Times New Roman" w:hAnsi="Palatino Linotype" w:cs="Times New Roman"/>
                <w:snapToGrid w:val="0"/>
                <w:color w:val="000000"/>
                <w:kern w:val="0"/>
                <w:sz w:val="20"/>
                <w:szCs w:val="20"/>
                <w:lang w:bidi="en-US"/>
              </w:rPr>
              <w:t>development</w:t>
            </w:r>
          </w:p>
        </w:tc>
        <w:tc>
          <w:tcPr>
            <w:tcW w:w="1629" w:type="dxa"/>
            <w:tcBorders>
              <w:top w:val="single" w:sz="4" w:space="0" w:color="000000"/>
              <w:left w:val="nil"/>
              <w:bottom w:val="nil"/>
              <w:right w:val="nil"/>
            </w:tcBorders>
            <w:shd w:val="clear" w:color="auto" w:fill="FFFFFF"/>
            <w:noWrap/>
            <w:vAlign w:val="bottom"/>
          </w:tcPr>
          <w:p w14:paraId="40E87D8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R&amp;D investment</w:t>
            </w:r>
          </w:p>
        </w:tc>
        <w:tc>
          <w:tcPr>
            <w:tcW w:w="2391" w:type="dxa"/>
            <w:tcBorders>
              <w:top w:val="single" w:sz="4" w:space="0" w:color="000000"/>
              <w:left w:val="nil"/>
              <w:bottom w:val="nil"/>
              <w:right w:val="nil"/>
            </w:tcBorders>
            <w:shd w:val="clear" w:color="auto" w:fill="FFFFFF"/>
            <w:noWrap/>
            <w:vAlign w:val="bottom"/>
          </w:tcPr>
          <w:p w14:paraId="3225040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supply chain management</w:t>
            </w:r>
          </w:p>
        </w:tc>
      </w:tr>
      <w:tr w:rsidR="00624AAA" w14:paraId="34625B4D" w14:textId="77777777">
        <w:trPr>
          <w:trHeight w:val="288"/>
        </w:trPr>
        <w:tc>
          <w:tcPr>
            <w:tcW w:w="480" w:type="pct"/>
            <w:tcBorders>
              <w:top w:val="nil"/>
              <w:left w:val="nil"/>
              <w:bottom w:val="nil"/>
              <w:right w:val="nil"/>
            </w:tcBorders>
            <w:shd w:val="clear" w:color="auto" w:fill="FFFFFF"/>
            <w:noWrap/>
            <w:vAlign w:val="bottom"/>
          </w:tcPr>
          <w:p w14:paraId="0B61A59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w:t>
            </w:r>
          </w:p>
        </w:tc>
        <w:tc>
          <w:tcPr>
            <w:tcW w:w="1104" w:type="pct"/>
            <w:tcBorders>
              <w:top w:val="nil"/>
              <w:left w:val="nil"/>
              <w:bottom w:val="nil"/>
              <w:right w:val="nil"/>
            </w:tcBorders>
            <w:shd w:val="clear" w:color="auto" w:fill="FFFFFF"/>
            <w:noWrap/>
            <w:vAlign w:val="bottom"/>
          </w:tcPr>
          <w:p w14:paraId="3C1B0BF7"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GROE</w:t>
            </w:r>
          </w:p>
        </w:tc>
        <w:tc>
          <w:tcPr>
            <w:tcW w:w="1057" w:type="pct"/>
            <w:tcBorders>
              <w:top w:val="nil"/>
              <w:left w:val="nil"/>
              <w:bottom w:val="nil"/>
              <w:right w:val="nil"/>
            </w:tcBorders>
            <w:shd w:val="clear" w:color="auto" w:fill="FFFFFF"/>
            <w:noWrap/>
            <w:vAlign w:val="bottom"/>
          </w:tcPr>
          <w:p w14:paraId="74A6E8B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greeninvest</w:t>
            </w:r>
            <w:proofErr w:type="spellEnd"/>
          </w:p>
        </w:tc>
        <w:tc>
          <w:tcPr>
            <w:tcW w:w="956" w:type="pct"/>
            <w:tcBorders>
              <w:top w:val="nil"/>
              <w:left w:val="nil"/>
              <w:bottom w:val="nil"/>
              <w:right w:val="nil"/>
            </w:tcBorders>
            <w:shd w:val="clear" w:color="auto" w:fill="FFFFFF"/>
            <w:noWrap/>
            <w:vAlign w:val="bottom"/>
          </w:tcPr>
          <w:p w14:paraId="423A49C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RDP</w:t>
            </w:r>
          </w:p>
        </w:tc>
        <w:tc>
          <w:tcPr>
            <w:tcW w:w="1400" w:type="pct"/>
            <w:tcBorders>
              <w:top w:val="nil"/>
              <w:left w:val="nil"/>
              <w:bottom w:val="nil"/>
              <w:right w:val="nil"/>
            </w:tcBorders>
            <w:shd w:val="clear" w:color="auto" w:fill="FFFFFF"/>
            <w:noWrap/>
            <w:vAlign w:val="bottom"/>
          </w:tcPr>
          <w:p w14:paraId="512C87C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APT</w:t>
            </w:r>
          </w:p>
        </w:tc>
      </w:tr>
      <w:tr w:rsidR="00624AAA" w14:paraId="5171DCB9" w14:textId="77777777">
        <w:trPr>
          <w:trHeight w:val="288"/>
        </w:trPr>
        <w:tc>
          <w:tcPr>
            <w:tcW w:w="480" w:type="pct"/>
            <w:tcBorders>
              <w:top w:val="nil"/>
              <w:left w:val="nil"/>
              <w:bottom w:val="nil"/>
              <w:right w:val="nil"/>
            </w:tcBorders>
            <w:shd w:val="clear" w:color="auto" w:fill="FFFFFF"/>
            <w:noWrap/>
            <w:vAlign w:val="bottom"/>
          </w:tcPr>
          <w:p w14:paraId="3C5569A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2</w:t>
            </w:r>
          </w:p>
        </w:tc>
        <w:tc>
          <w:tcPr>
            <w:tcW w:w="1104" w:type="pct"/>
            <w:tcBorders>
              <w:top w:val="nil"/>
              <w:left w:val="nil"/>
              <w:bottom w:val="nil"/>
              <w:right w:val="nil"/>
            </w:tcBorders>
            <w:shd w:val="clear" w:color="auto" w:fill="FFFFFF"/>
            <w:noWrap/>
            <w:vAlign w:val="bottom"/>
          </w:tcPr>
          <w:p w14:paraId="33C3B70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GPF</w:t>
            </w:r>
          </w:p>
        </w:tc>
        <w:tc>
          <w:tcPr>
            <w:tcW w:w="1057" w:type="pct"/>
            <w:tcBorders>
              <w:top w:val="nil"/>
              <w:left w:val="nil"/>
              <w:bottom w:val="nil"/>
              <w:right w:val="nil"/>
            </w:tcBorders>
            <w:shd w:val="clear" w:color="auto" w:fill="FFFFFF"/>
            <w:noWrap/>
            <w:vAlign w:val="bottom"/>
          </w:tcPr>
          <w:p w14:paraId="7650CB8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greentran</w:t>
            </w:r>
            <w:proofErr w:type="spellEnd"/>
          </w:p>
        </w:tc>
        <w:tc>
          <w:tcPr>
            <w:tcW w:w="956" w:type="pct"/>
            <w:tcBorders>
              <w:top w:val="nil"/>
              <w:left w:val="nil"/>
              <w:bottom w:val="nil"/>
              <w:right w:val="nil"/>
            </w:tcBorders>
            <w:shd w:val="clear" w:color="auto" w:fill="FFFFFF"/>
            <w:noWrap/>
            <w:vAlign w:val="bottom"/>
          </w:tcPr>
          <w:p w14:paraId="149CC0E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RDQ</w:t>
            </w:r>
          </w:p>
        </w:tc>
        <w:tc>
          <w:tcPr>
            <w:tcW w:w="1400" w:type="pct"/>
            <w:tcBorders>
              <w:top w:val="nil"/>
              <w:left w:val="nil"/>
              <w:bottom w:val="nil"/>
              <w:right w:val="nil"/>
            </w:tcBorders>
            <w:shd w:val="clear" w:color="auto" w:fill="FFFFFF"/>
            <w:noWrap/>
            <w:vAlign w:val="bottom"/>
          </w:tcPr>
          <w:p w14:paraId="5CA217A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CENSU</w:t>
            </w:r>
          </w:p>
        </w:tc>
      </w:tr>
      <w:tr w:rsidR="00624AAA" w14:paraId="4154F48E" w14:textId="77777777">
        <w:trPr>
          <w:trHeight w:val="288"/>
        </w:trPr>
        <w:tc>
          <w:tcPr>
            <w:tcW w:w="480" w:type="pct"/>
            <w:tcBorders>
              <w:top w:val="nil"/>
              <w:left w:val="nil"/>
              <w:bottom w:val="single" w:sz="12" w:space="0" w:color="000000"/>
              <w:right w:val="nil"/>
            </w:tcBorders>
            <w:shd w:val="clear" w:color="auto" w:fill="FFFFFF"/>
            <w:noWrap/>
            <w:vAlign w:val="bottom"/>
          </w:tcPr>
          <w:p w14:paraId="182D7F8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3</w:t>
            </w:r>
          </w:p>
        </w:tc>
        <w:tc>
          <w:tcPr>
            <w:tcW w:w="1104" w:type="pct"/>
            <w:tcBorders>
              <w:top w:val="nil"/>
              <w:left w:val="nil"/>
              <w:bottom w:val="single" w:sz="12" w:space="0" w:color="000000"/>
              <w:right w:val="nil"/>
            </w:tcBorders>
            <w:shd w:val="clear" w:color="auto" w:fill="FFFFFF"/>
            <w:noWrap/>
            <w:vAlign w:val="bottom"/>
          </w:tcPr>
          <w:p w14:paraId="2481004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LT</w:t>
            </w:r>
          </w:p>
        </w:tc>
        <w:tc>
          <w:tcPr>
            <w:tcW w:w="1057" w:type="pct"/>
            <w:tcBorders>
              <w:top w:val="nil"/>
              <w:left w:val="nil"/>
              <w:bottom w:val="single" w:sz="12" w:space="0" w:color="000000"/>
              <w:right w:val="nil"/>
            </w:tcBorders>
            <w:shd w:val="clear" w:color="auto" w:fill="FFFFFF"/>
            <w:noWrap/>
            <w:vAlign w:val="bottom"/>
          </w:tcPr>
          <w:p w14:paraId="03F3A4A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erse</w:t>
            </w:r>
            <w:proofErr w:type="spellEnd"/>
          </w:p>
        </w:tc>
        <w:tc>
          <w:tcPr>
            <w:tcW w:w="956" w:type="pct"/>
            <w:tcBorders>
              <w:top w:val="nil"/>
              <w:left w:val="nil"/>
              <w:bottom w:val="single" w:sz="12" w:space="0" w:color="000000"/>
              <w:right w:val="nil"/>
            </w:tcBorders>
            <w:shd w:val="clear" w:color="auto" w:fill="FFFFFF"/>
            <w:noWrap/>
            <w:vAlign w:val="bottom"/>
          </w:tcPr>
          <w:p w14:paraId="34FFF80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RDC</w:t>
            </w:r>
          </w:p>
        </w:tc>
        <w:tc>
          <w:tcPr>
            <w:tcW w:w="1400" w:type="pct"/>
            <w:tcBorders>
              <w:top w:val="nil"/>
              <w:left w:val="nil"/>
              <w:bottom w:val="single" w:sz="12" w:space="0" w:color="000000"/>
              <w:right w:val="nil"/>
            </w:tcBorders>
            <w:shd w:val="clear" w:color="auto" w:fill="FFFFFF"/>
            <w:noWrap/>
            <w:vAlign w:val="bottom"/>
          </w:tcPr>
          <w:p w14:paraId="5ADBE7B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ART</w:t>
            </w:r>
          </w:p>
        </w:tc>
      </w:tr>
    </w:tbl>
    <w:p w14:paraId="7336B157" w14:textId="77777777" w:rsidR="00624AAA" w:rsidRDefault="00C46345">
      <w:pPr>
        <w:spacing w:line="280" w:lineRule="exact"/>
        <w:rPr>
          <w:rFonts w:ascii="Times New Roman" w:eastAsia="SimSun" w:hAnsi="Times New Roman" w:cs="Times New Roman"/>
          <w:sz w:val="20"/>
          <w:szCs w:val="20"/>
        </w:rPr>
      </w:pPr>
      <w:r>
        <w:rPr>
          <w:rFonts w:ascii="Palatino Linotype" w:eastAsia="Times New Roman" w:hAnsi="Palatino Linotype" w:cs="Times New Roman"/>
          <w:snapToGrid w:val="0"/>
          <w:color w:val="000000"/>
          <w:kern w:val="0"/>
          <w:sz w:val="20"/>
          <w:szCs w:val="20"/>
          <w:lang w:bidi="en-US"/>
        </w:rPr>
        <w:t>(Source: Own elaboration based on the main context of the paper).</w:t>
      </w:r>
    </w:p>
    <w:p w14:paraId="143E5AEF" w14:textId="77777777" w:rsidR="00624AAA" w:rsidRDefault="00624AAA">
      <w:pPr>
        <w:rPr>
          <w:rFonts w:ascii="Times New Roman" w:eastAsia="SimSun" w:hAnsi="Times New Roman" w:cs="Times New Roman"/>
        </w:rPr>
      </w:pPr>
    </w:p>
    <w:p w14:paraId="37332DE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More generally, across both sustainability </w:t>
      </w:r>
      <w:r>
        <w:rPr>
          <w:rFonts w:ascii="Palatino Linotype" w:eastAsia="Times New Roman" w:hAnsi="Palatino Linotype" w:cs="Times New Roman"/>
          <w:snapToGrid w:val="0"/>
          <w:color w:val="000000"/>
          <w:kern w:val="0"/>
          <w:sz w:val="20"/>
          <w:szCs w:val="21"/>
          <w:lang w:bidi="en-US"/>
        </w:rPr>
        <w:t>dimensions, Financial Performance and Green Development rank highest in their ability to influence sustainability, highlighting their central importance in building the long-term sustainability, viability, and stability of an enterprise.</w:t>
      </w:r>
    </w:p>
    <w:p w14:paraId="41750821"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snapToGrid w:val="0"/>
          <w:color w:val="000000"/>
          <w:kern w:val="0"/>
          <w:sz w:val="20"/>
          <w:szCs w:val="21"/>
          <w:lang w:bidi="en-US"/>
        </w:rPr>
        <w:t xml:space="preserve">In addition, this </w:t>
      </w:r>
      <w:r>
        <w:rPr>
          <w:rFonts w:ascii="Palatino Linotype" w:eastAsia="Times New Roman" w:hAnsi="Palatino Linotype" w:cs="Times New Roman"/>
          <w:snapToGrid w:val="0"/>
          <w:color w:val="000000"/>
          <w:kern w:val="0"/>
          <w:sz w:val="20"/>
          <w:szCs w:val="21"/>
          <w:lang w:bidi="en-US"/>
        </w:rPr>
        <w:t xml:space="preserve">study uses the relative importance measure obtained in the random forest algorithm to express the differences in the predictive abilities of feature variables with respect to various elements of corporate sustainable development. In Figure </w:t>
      </w:r>
      <w:r>
        <w:rPr>
          <w:rFonts w:ascii="Palatino Linotype" w:eastAsia="Times New Roman" w:hAnsi="Palatino Linotype" w:cs="Times New Roman" w:hint="eastAsia"/>
          <w:snapToGrid w:val="0"/>
          <w:color w:val="000000"/>
          <w:kern w:val="0"/>
          <w:sz w:val="20"/>
          <w:szCs w:val="21"/>
          <w:lang w:bidi="en-US"/>
        </w:rPr>
        <w:t>2</w:t>
      </w:r>
      <w:r>
        <w:rPr>
          <w:rFonts w:ascii="Palatino Linotype" w:eastAsia="Times New Roman" w:hAnsi="Palatino Linotype" w:cs="Times New Roman"/>
          <w:snapToGrid w:val="0"/>
          <w:color w:val="000000"/>
          <w:kern w:val="0"/>
          <w:sz w:val="20"/>
          <w:szCs w:val="21"/>
          <w:lang w:bidi="en-US"/>
        </w:rPr>
        <w:t xml:space="preserve"> and Figure </w:t>
      </w:r>
      <w:r>
        <w:rPr>
          <w:rFonts w:ascii="Palatino Linotype" w:eastAsia="Times New Roman" w:hAnsi="Palatino Linotype" w:cs="Times New Roman" w:hint="eastAsia"/>
          <w:snapToGrid w:val="0"/>
          <w:color w:val="000000"/>
          <w:kern w:val="0"/>
          <w:sz w:val="20"/>
          <w:szCs w:val="21"/>
          <w:lang w:bidi="en-US"/>
        </w:rPr>
        <w:t>3</w:t>
      </w:r>
      <w:r>
        <w:rPr>
          <w:rFonts w:ascii="Palatino Linotype" w:eastAsia="Times New Roman" w:hAnsi="Palatino Linotype" w:cs="Times New Roman"/>
          <w:snapToGrid w:val="0"/>
          <w:color w:val="000000"/>
          <w:kern w:val="0"/>
          <w:sz w:val="20"/>
          <w:szCs w:val="21"/>
          <w:lang w:bidi="en-US"/>
        </w:rPr>
        <w:t xml:space="preserve">, we summarize the relative importance of each variable with respect to financial performance, green development, R&amp;D innovation and supply chain management. The results indicate that GROE, GPF,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reeninvest</w:t>
      </w:r>
      <w:proofErr w:type="spellEnd"/>
      <w:r>
        <w:rPr>
          <w:rFonts w:ascii="Palatino Linotype" w:eastAsia="Times New Roman" w:hAnsi="Palatino Linotype" w:cs="Times New Roman"/>
          <w:snapToGrid w:val="0"/>
          <w:color w:val="000000"/>
          <w:kern w:val="0"/>
          <w:sz w:val="20"/>
          <w:szCs w:val="21"/>
          <w:lang w:bidi="en-US"/>
        </w:rPr>
        <w:t xml:space="preserve">,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reentran</w:t>
      </w:r>
      <w:proofErr w:type="spellEnd"/>
      <w:r>
        <w:rPr>
          <w:rFonts w:ascii="Palatino Linotype" w:eastAsia="Times New Roman" w:hAnsi="Palatino Linotype" w:cs="Times New Roman"/>
          <w:snapToGrid w:val="0"/>
          <w:color w:val="000000"/>
          <w:kern w:val="0"/>
          <w:sz w:val="20"/>
          <w:szCs w:val="21"/>
          <w:lang w:bidi="en-US"/>
        </w:rPr>
        <w:t>, RDP, LT and CENSU are the most predic</w:t>
      </w:r>
      <w:r>
        <w:rPr>
          <w:rFonts w:ascii="Palatino Linotype" w:eastAsia="Times New Roman" w:hAnsi="Palatino Linotype" w:cs="Times New Roman"/>
          <w:snapToGrid w:val="0"/>
          <w:color w:val="000000"/>
          <w:kern w:val="0"/>
          <w:sz w:val="20"/>
          <w:szCs w:val="21"/>
          <w:lang w:bidi="en-US"/>
        </w:rPr>
        <w:t>tive feature variables for corporate sustainable development, all of which are in the top 10 for relative importance. This suggests these characteristics are likely to be effective in moving corporate sustainability forward.</w:t>
      </w:r>
    </w:p>
    <w:p w14:paraId="41C5B494" w14:textId="77777777" w:rsidR="00624AAA" w:rsidRDefault="00C46345">
      <w:pPr>
        <w:rPr>
          <w:rFonts w:ascii="Times New Roman" w:eastAsia="SimSun" w:hAnsi="Times New Roman" w:cs="Times New Roman"/>
        </w:rPr>
      </w:pPr>
      <w:r>
        <w:rPr>
          <w:rFonts w:ascii="Times New Roman" w:eastAsia="SimSun" w:hAnsi="Times New Roman" w:cs="Times New Roman"/>
          <w:noProof/>
        </w:rPr>
        <w:drawing>
          <wp:inline distT="0" distB="0" distL="114300" distR="114300" wp14:anchorId="576706D8" wp14:editId="267E7F7C">
            <wp:extent cx="5305425" cy="4244340"/>
            <wp:effectExtent l="0" t="0" r="3175" b="22860"/>
            <wp:docPr id="2"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IMG_256"/>
                    <pic:cNvPicPr>
                      <a:picLocks noChangeAspect="1"/>
                    </pic:cNvPicPr>
                  </pic:nvPicPr>
                  <pic:blipFill>
                    <a:blip r:embed="rId7"/>
                    <a:stretch>
                      <a:fillRect/>
                    </a:stretch>
                  </pic:blipFill>
                  <pic:spPr>
                    <a:xfrm>
                      <a:off x="0" y="0"/>
                      <a:ext cx="5305425" cy="4244340"/>
                    </a:xfrm>
                    <a:prstGeom prst="rect">
                      <a:avLst/>
                    </a:prstGeom>
                    <a:noFill/>
                    <a:ln>
                      <a:noFill/>
                    </a:ln>
                  </pic:spPr>
                </pic:pic>
              </a:graphicData>
            </a:graphic>
          </wp:inline>
        </w:drawing>
      </w:r>
    </w:p>
    <w:p w14:paraId="58AD5C65" w14:textId="77777777" w:rsidR="00624AAA" w:rsidRDefault="00C46345">
      <w:pPr>
        <w:pStyle w:val="MDPI51figurecaption"/>
        <w:ind w:left="0"/>
        <w:jc w:val="left"/>
        <w:rPr>
          <w:bCs/>
          <w:lang w:eastAsia="zh-CN"/>
        </w:rPr>
      </w:pPr>
      <w:r>
        <w:rPr>
          <w:rFonts w:hint="eastAsia"/>
          <w:b/>
          <w:lang w:eastAsia="zh-CN"/>
        </w:rPr>
        <w:t>F</w:t>
      </w:r>
      <w:r>
        <w:rPr>
          <w:b/>
          <w:lang w:eastAsia="zh-CN"/>
        </w:rPr>
        <w:t xml:space="preserve">igure </w:t>
      </w:r>
      <w:r>
        <w:rPr>
          <w:rFonts w:hint="eastAsia"/>
          <w:b/>
          <w:lang w:eastAsia="zh-CN"/>
        </w:rPr>
        <w:t>2</w:t>
      </w:r>
      <w:r>
        <w:rPr>
          <w:b/>
          <w:lang w:eastAsia="zh-CN"/>
        </w:rPr>
        <w:t xml:space="preserve">. </w:t>
      </w:r>
      <w:r>
        <w:rPr>
          <w:bCs/>
          <w:lang w:eastAsia="zh-CN"/>
        </w:rPr>
        <w:t xml:space="preserve">feature importance </w:t>
      </w:r>
      <w:r>
        <w:rPr>
          <w:bCs/>
          <w:lang w:eastAsia="zh-CN"/>
        </w:rPr>
        <w:t>for SGR</w:t>
      </w:r>
    </w:p>
    <w:p w14:paraId="0DBE653D" w14:textId="77777777" w:rsidR="00624AAA" w:rsidRDefault="00C46345">
      <w:pPr>
        <w:jc w:val="center"/>
        <w:rPr>
          <w:rFonts w:ascii="Times New Roman" w:eastAsia="SimSun" w:hAnsi="Times New Roman" w:cs="Times New Roman"/>
        </w:rPr>
      </w:pPr>
      <w:r>
        <w:rPr>
          <w:rFonts w:ascii="Times New Roman" w:eastAsia="SimSun" w:hAnsi="Times New Roman" w:cs="Times New Roman"/>
          <w:noProof/>
        </w:rPr>
        <w:lastRenderedPageBreak/>
        <w:drawing>
          <wp:inline distT="0" distB="0" distL="114300" distR="114300" wp14:anchorId="5DED8AEB" wp14:editId="7CF72F29">
            <wp:extent cx="5386705" cy="4309745"/>
            <wp:effectExtent l="0" t="0" r="23495" b="8255"/>
            <wp:docPr id="4"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IMG_256"/>
                    <pic:cNvPicPr>
                      <a:picLocks noChangeAspect="1"/>
                    </pic:cNvPicPr>
                  </pic:nvPicPr>
                  <pic:blipFill>
                    <a:blip r:embed="rId8"/>
                    <a:stretch>
                      <a:fillRect/>
                    </a:stretch>
                  </pic:blipFill>
                  <pic:spPr>
                    <a:xfrm>
                      <a:off x="0" y="0"/>
                      <a:ext cx="5386705" cy="4309745"/>
                    </a:xfrm>
                    <a:prstGeom prst="rect">
                      <a:avLst/>
                    </a:prstGeom>
                    <a:noFill/>
                    <a:ln>
                      <a:noFill/>
                    </a:ln>
                  </pic:spPr>
                </pic:pic>
              </a:graphicData>
            </a:graphic>
          </wp:inline>
        </w:drawing>
      </w:r>
    </w:p>
    <w:p w14:paraId="5C3E80C4" w14:textId="77777777" w:rsidR="00624AAA" w:rsidRDefault="00C46345">
      <w:pPr>
        <w:rPr>
          <w:rFonts w:ascii="Palatino Linotype" w:eastAsia="Times New Roman" w:hAnsi="Palatino Linotype" w:cs="Times New Roman"/>
          <w:color w:val="000000"/>
          <w:kern w:val="0"/>
          <w:sz w:val="18"/>
          <w:szCs w:val="20"/>
          <w:lang w:bidi="en-US"/>
        </w:rPr>
      </w:pPr>
      <w:r>
        <w:rPr>
          <w:rFonts w:ascii="Palatino Linotype" w:eastAsia="Times New Roman" w:hAnsi="Palatino Linotype" w:cs="Times New Roman" w:hint="eastAsia"/>
          <w:b/>
          <w:color w:val="000000"/>
          <w:kern w:val="0"/>
          <w:sz w:val="18"/>
          <w:szCs w:val="20"/>
          <w:lang w:bidi="en-US"/>
        </w:rPr>
        <w:t>F</w:t>
      </w:r>
      <w:r>
        <w:rPr>
          <w:rFonts w:ascii="Palatino Linotype" w:eastAsia="Times New Roman" w:hAnsi="Palatino Linotype" w:cs="Times New Roman"/>
          <w:b/>
          <w:color w:val="000000"/>
          <w:kern w:val="0"/>
          <w:sz w:val="18"/>
          <w:szCs w:val="20"/>
          <w:lang w:bidi="en-US"/>
        </w:rPr>
        <w:t xml:space="preserve">igure </w:t>
      </w:r>
      <w:r>
        <w:rPr>
          <w:rFonts w:ascii="Palatino Linotype" w:eastAsia="Times New Roman" w:hAnsi="Palatino Linotype" w:cs="Times New Roman" w:hint="eastAsia"/>
          <w:b/>
          <w:color w:val="000000"/>
          <w:kern w:val="0"/>
          <w:sz w:val="18"/>
          <w:szCs w:val="20"/>
          <w:lang w:bidi="en-US"/>
        </w:rPr>
        <w:t>3</w:t>
      </w:r>
      <w:r>
        <w:rPr>
          <w:b/>
        </w:rPr>
        <w:t>.</w:t>
      </w:r>
      <w:r>
        <w:rPr>
          <w:rFonts w:ascii="Palatino Linotype" w:eastAsia="Times New Roman" w:hAnsi="Palatino Linotype" w:cs="Times New Roman"/>
          <w:color w:val="000000"/>
          <w:kern w:val="0"/>
          <w:sz w:val="18"/>
          <w:szCs w:val="20"/>
          <w:lang w:bidi="en-US"/>
        </w:rPr>
        <w:t xml:space="preserve"> feature importance for PV</w:t>
      </w:r>
    </w:p>
    <w:p w14:paraId="64DED477" w14:textId="77777777" w:rsidR="00624AAA" w:rsidRDefault="00C46345">
      <w:pPr>
        <w:pStyle w:val="MDPI23heading3"/>
        <w:ind w:left="0"/>
        <w:rPr>
          <w:lang w:eastAsia="zh-CN"/>
        </w:rPr>
      </w:pPr>
      <w:r>
        <w:rPr>
          <w:rFonts w:hint="eastAsia"/>
          <w:lang w:eastAsia="zh-CN"/>
        </w:rPr>
        <w:t>5.3.2 Univariate Importance Comparison</w:t>
      </w:r>
    </w:p>
    <w:p w14:paraId="5389BD5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In addition, this study uses the relative importance measure obtained in the random forest algorithm to express the differences in the predictive abilities of feature variables with respect to various elements of corporate sustainable development. In Figur</w:t>
      </w:r>
      <w:r>
        <w:rPr>
          <w:rFonts w:ascii="Palatino Linotype" w:eastAsia="Times New Roman" w:hAnsi="Palatino Linotype" w:cs="Times New Roman"/>
          <w:snapToGrid w:val="0"/>
          <w:color w:val="000000"/>
          <w:kern w:val="0"/>
          <w:sz w:val="20"/>
          <w:szCs w:val="21"/>
          <w:lang w:bidi="en-US"/>
        </w:rPr>
        <w:t xml:space="preserve">e </w:t>
      </w:r>
      <w:r>
        <w:rPr>
          <w:rFonts w:ascii="Palatino Linotype" w:eastAsia="Times New Roman" w:hAnsi="Palatino Linotype" w:cs="Times New Roman" w:hint="eastAsia"/>
          <w:snapToGrid w:val="0"/>
          <w:color w:val="000000"/>
          <w:kern w:val="0"/>
          <w:sz w:val="20"/>
          <w:szCs w:val="21"/>
          <w:lang w:bidi="en-US"/>
        </w:rPr>
        <w:t>4</w:t>
      </w:r>
      <w:r>
        <w:rPr>
          <w:rFonts w:ascii="Palatino Linotype" w:eastAsia="Times New Roman" w:hAnsi="Palatino Linotype" w:cs="Times New Roman"/>
          <w:snapToGrid w:val="0"/>
          <w:color w:val="000000"/>
          <w:kern w:val="0"/>
          <w:sz w:val="20"/>
          <w:szCs w:val="21"/>
          <w:lang w:bidi="en-US"/>
        </w:rPr>
        <w:t xml:space="preserve">, we summarize the relative importance of each variable with respect to financial performance, green development, R&amp;D innovation and supply chain management. The results indicate that GROE, GPF,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reeninvest</w:t>
      </w:r>
      <w:proofErr w:type="spellEnd"/>
      <w:r>
        <w:rPr>
          <w:rFonts w:ascii="Palatino Linotype" w:eastAsia="Times New Roman" w:hAnsi="Palatino Linotype" w:cs="Times New Roman"/>
          <w:snapToGrid w:val="0"/>
          <w:color w:val="000000"/>
          <w:kern w:val="0"/>
          <w:sz w:val="20"/>
          <w:szCs w:val="21"/>
          <w:lang w:bidi="en-US"/>
        </w:rPr>
        <w:t xml:space="preserve">,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reentran</w:t>
      </w:r>
      <w:proofErr w:type="spellEnd"/>
      <w:r>
        <w:rPr>
          <w:rFonts w:ascii="Palatino Linotype" w:eastAsia="Times New Roman" w:hAnsi="Palatino Linotype" w:cs="Times New Roman"/>
          <w:snapToGrid w:val="0"/>
          <w:color w:val="000000"/>
          <w:kern w:val="0"/>
          <w:sz w:val="20"/>
          <w:szCs w:val="21"/>
          <w:lang w:bidi="en-US"/>
        </w:rPr>
        <w:t>, RDP, LT and CENSU are the most pre</w:t>
      </w:r>
      <w:r>
        <w:rPr>
          <w:rFonts w:ascii="Palatino Linotype" w:eastAsia="Times New Roman" w:hAnsi="Palatino Linotype" w:cs="Times New Roman"/>
          <w:snapToGrid w:val="0"/>
          <w:color w:val="000000"/>
          <w:kern w:val="0"/>
          <w:sz w:val="20"/>
          <w:szCs w:val="21"/>
          <w:lang w:bidi="en-US"/>
        </w:rPr>
        <w:t>dictive feature variables for corporate sustainable development all of which are in the top 10 for relative importance. This suggests these characteristics are likely to be effective in moving corporate sustainability forward.</w:t>
      </w:r>
    </w:p>
    <w:p w14:paraId="6631597E"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p w14:paraId="0E431B08" w14:textId="77777777" w:rsidR="00624AAA" w:rsidRDefault="00C46345">
      <w:pPr>
        <w:pStyle w:val="MDPI41tablecaption"/>
        <w:ind w:left="0"/>
        <w:rPr>
          <w:bCs/>
          <w:sz w:val="20"/>
          <w:szCs w:val="20"/>
          <w:lang w:eastAsia="zh-CN"/>
        </w:rPr>
      </w:pPr>
      <w:r>
        <w:rPr>
          <w:b/>
          <w:sz w:val="20"/>
          <w:szCs w:val="20"/>
          <w:lang w:eastAsia="zh-CN"/>
        </w:rPr>
        <w:t xml:space="preserve">Table 6. </w:t>
      </w:r>
      <w:r>
        <w:rPr>
          <w:bCs/>
          <w:sz w:val="20"/>
          <w:szCs w:val="20"/>
          <w:lang w:eastAsia="zh-CN"/>
        </w:rPr>
        <w:t>Univariate relative</w:t>
      </w:r>
      <w:r>
        <w:rPr>
          <w:bCs/>
          <w:sz w:val="20"/>
          <w:szCs w:val="20"/>
          <w:lang w:eastAsia="zh-CN"/>
        </w:rPr>
        <w:t xml:space="preserve"> importance</w:t>
      </w:r>
    </w:p>
    <w:p w14:paraId="3F70B6BB" w14:textId="77777777" w:rsidR="00624AAA" w:rsidRDefault="00624AAA">
      <w:pPr>
        <w:pStyle w:val="a"/>
        <w:jc w:val="center"/>
        <w:rPr>
          <w:rFonts w:ascii="Times New Roman" w:hAnsi="Times New Roman" w:cs="Times New Roman"/>
        </w:rPr>
      </w:pPr>
    </w:p>
    <w:tbl>
      <w:tblPr>
        <w:tblW w:w="5076" w:type="dxa"/>
        <w:jc w:val="center"/>
        <w:tblLook w:val="04A0" w:firstRow="1" w:lastRow="0" w:firstColumn="1" w:lastColumn="0" w:noHBand="0" w:noVBand="1"/>
      </w:tblPr>
      <w:tblGrid>
        <w:gridCol w:w="972"/>
        <w:gridCol w:w="1869"/>
        <w:gridCol w:w="1726"/>
        <w:gridCol w:w="1600"/>
        <w:gridCol w:w="1790"/>
      </w:tblGrid>
      <w:tr w:rsidR="00624AAA" w14:paraId="6C96C177" w14:textId="77777777">
        <w:trPr>
          <w:trHeight w:val="288"/>
          <w:jc w:val="center"/>
        </w:trPr>
        <w:tc>
          <w:tcPr>
            <w:tcW w:w="972" w:type="dxa"/>
            <w:tcBorders>
              <w:top w:val="single" w:sz="12" w:space="0" w:color="000000"/>
              <w:left w:val="nil"/>
              <w:bottom w:val="single" w:sz="4" w:space="0" w:color="000000"/>
              <w:right w:val="nil"/>
              <w:tl2br w:val="nil"/>
            </w:tcBorders>
            <w:shd w:val="clear" w:color="auto" w:fill="FFFFFF"/>
            <w:noWrap/>
            <w:vAlign w:val="bottom"/>
          </w:tcPr>
          <w:p w14:paraId="621EFFF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Rank</w:t>
            </w:r>
          </w:p>
        </w:tc>
        <w:tc>
          <w:tcPr>
            <w:tcW w:w="972" w:type="dxa"/>
            <w:tcBorders>
              <w:top w:val="single" w:sz="12" w:space="0" w:color="000000"/>
              <w:left w:val="nil"/>
              <w:bottom w:val="single" w:sz="4" w:space="0" w:color="000000"/>
              <w:right w:val="nil"/>
            </w:tcBorders>
            <w:shd w:val="clear" w:color="auto" w:fill="FFFFFF"/>
            <w:noWrap/>
          </w:tcPr>
          <w:p w14:paraId="5A4DC2D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Feature</w:t>
            </w:r>
          </w:p>
        </w:tc>
        <w:tc>
          <w:tcPr>
            <w:tcW w:w="1044" w:type="dxa"/>
            <w:tcBorders>
              <w:top w:val="single" w:sz="12" w:space="0" w:color="000000"/>
              <w:left w:val="nil"/>
              <w:bottom w:val="single" w:sz="4" w:space="0" w:color="000000"/>
              <w:right w:val="nil"/>
            </w:tcBorders>
            <w:shd w:val="clear" w:color="auto" w:fill="FFFFFF"/>
            <w:noWrap/>
          </w:tcPr>
          <w:p w14:paraId="7438FA2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Importance_SGR</w:t>
            </w:r>
            <w:proofErr w:type="spellEnd"/>
          </w:p>
        </w:tc>
        <w:tc>
          <w:tcPr>
            <w:tcW w:w="1044" w:type="dxa"/>
            <w:tcBorders>
              <w:top w:val="single" w:sz="12" w:space="0" w:color="000000"/>
              <w:left w:val="nil"/>
              <w:bottom w:val="single" w:sz="4" w:space="0" w:color="000000"/>
              <w:right w:val="nil"/>
            </w:tcBorders>
            <w:shd w:val="clear" w:color="auto" w:fill="FFFFFF"/>
            <w:noWrap/>
          </w:tcPr>
          <w:p w14:paraId="48E1F65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Importance_PV</w:t>
            </w:r>
            <w:proofErr w:type="spellEnd"/>
          </w:p>
        </w:tc>
        <w:tc>
          <w:tcPr>
            <w:tcW w:w="1044" w:type="dxa"/>
            <w:tcBorders>
              <w:top w:val="single" w:sz="12" w:space="0" w:color="000000"/>
              <w:left w:val="nil"/>
              <w:bottom w:val="single" w:sz="4" w:space="0" w:color="000000"/>
              <w:right w:val="nil"/>
            </w:tcBorders>
            <w:shd w:val="clear" w:color="auto" w:fill="FFFFFF"/>
            <w:noWrap/>
          </w:tcPr>
          <w:p w14:paraId="1FB48D2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Total_Importance</w:t>
            </w:r>
            <w:proofErr w:type="spellEnd"/>
          </w:p>
        </w:tc>
      </w:tr>
      <w:tr w:rsidR="00624AAA" w14:paraId="3CB11DAA" w14:textId="77777777">
        <w:trPr>
          <w:trHeight w:val="288"/>
          <w:jc w:val="center"/>
        </w:trPr>
        <w:tc>
          <w:tcPr>
            <w:tcW w:w="0" w:type="auto"/>
            <w:tcBorders>
              <w:top w:val="single" w:sz="4" w:space="0" w:color="000000"/>
              <w:left w:val="nil"/>
              <w:bottom w:val="nil"/>
              <w:right w:val="nil"/>
            </w:tcBorders>
            <w:shd w:val="clear" w:color="auto" w:fill="FFFFFF"/>
            <w:noWrap/>
            <w:vAlign w:val="bottom"/>
          </w:tcPr>
          <w:p w14:paraId="6E88DEF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w:t>
            </w:r>
          </w:p>
        </w:tc>
        <w:tc>
          <w:tcPr>
            <w:tcW w:w="0" w:type="auto"/>
            <w:tcBorders>
              <w:top w:val="single" w:sz="4" w:space="0" w:color="000000"/>
              <w:left w:val="nil"/>
              <w:bottom w:val="nil"/>
              <w:right w:val="nil"/>
            </w:tcBorders>
            <w:shd w:val="clear" w:color="auto" w:fill="FFFFFF"/>
            <w:noWrap/>
            <w:vAlign w:val="bottom"/>
          </w:tcPr>
          <w:p w14:paraId="13DDFFB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GROE</w:t>
            </w:r>
          </w:p>
        </w:tc>
        <w:tc>
          <w:tcPr>
            <w:tcW w:w="0" w:type="auto"/>
            <w:tcBorders>
              <w:top w:val="single" w:sz="4" w:space="0" w:color="000000"/>
              <w:left w:val="nil"/>
              <w:bottom w:val="nil"/>
              <w:right w:val="nil"/>
            </w:tcBorders>
            <w:shd w:val="clear" w:color="auto" w:fill="FFFFFF"/>
            <w:noWrap/>
            <w:vAlign w:val="bottom"/>
          </w:tcPr>
          <w:p w14:paraId="46A72D6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0.3438</w:t>
            </w:r>
          </w:p>
        </w:tc>
        <w:tc>
          <w:tcPr>
            <w:tcW w:w="0" w:type="auto"/>
            <w:tcBorders>
              <w:top w:val="single" w:sz="4" w:space="0" w:color="000000"/>
              <w:left w:val="nil"/>
              <w:bottom w:val="nil"/>
              <w:right w:val="nil"/>
            </w:tcBorders>
            <w:shd w:val="clear" w:color="auto" w:fill="FFFFFF"/>
            <w:noWrap/>
            <w:vAlign w:val="bottom"/>
          </w:tcPr>
          <w:p w14:paraId="168584D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0.2793</w:t>
            </w:r>
          </w:p>
        </w:tc>
        <w:tc>
          <w:tcPr>
            <w:tcW w:w="0" w:type="auto"/>
            <w:tcBorders>
              <w:top w:val="single" w:sz="4" w:space="0" w:color="000000"/>
              <w:left w:val="nil"/>
              <w:bottom w:val="nil"/>
              <w:right w:val="nil"/>
            </w:tcBorders>
            <w:shd w:val="clear" w:color="auto" w:fill="FFFFFF"/>
            <w:noWrap/>
            <w:vAlign w:val="bottom"/>
          </w:tcPr>
          <w:p w14:paraId="1B44E27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0.6231</w:t>
            </w:r>
          </w:p>
        </w:tc>
      </w:tr>
      <w:tr w:rsidR="00624AAA" w14:paraId="5FEB59CA" w14:textId="77777777">
        <w:trPr>
          <w:trHeight w:val="288"/>
          <w:jc w:val="center"/>
        </w:trPr>
        <w:tc>
          <w:tcPr>
            <w:tcW w:w="0" w:type="auto"/>
            <w:tcBorders>
              <w:top w:val="nil"/>
              <w:left w:val="nil"/>
              <w:bottom w:val="nil"/>
              <w:right w:val="nil"/>
            </w:tcBorders>
            <w:shd w:val="clear" w:color="auto" w:fill="FFFFFF"/>
            <w:noWrap/>
            <w:vAlign w:val="bottom"/>
          </w:tcPr>
          <w:p w14:paraId="71CBD73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2</w:t>
            </w:r>
          </w:p>
        </w:tc>
        <w:tc>
          <w:tcPr>
            <w:tcW w:w="0" w:type="auto"/>
            <w:tcBorders>
              <w:top w:val="nil"/>
              <w:left w:val="nil"/>
              <w:bottom w:val="nil"/>
              <w:right w:val="nil"/>
            </w:tcBorders>
            <w:shd w:val="clear" w:color="auto" w:fill="FFFFFF"/>
            <w:noWrap/>
            <w:vAlign w:val="bottom"/>
          </w:tcPr>
          <w:p w14:paraId="340BB49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GPF</w:t>
            </w:r>
          </w:p>
        </w:tc>
        <w:tc>
          <w:tcPr>
            <w:tcW w:w="0" w:type="auto"/>
            <w:tcBorders>
              <w:top w:val="nil"/>
              <w:left w:val="nil"/>
              <w:bottom w:val="nil"/>
              <w:right w:val="nil"/>
            </w:tcBorders>
            <w:shd w:val="clear" w:color="auto" w:fill="FFFFFF"/>
            <w:noWrap/>
            <w:vAlign w:val="bottom"/>
          </w:tcPr>
          <w:p w14:paraId="401AEE0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0.1844</w:t>
            </w:r>
          </w:p>
        </w:tc>
        <w:tc>
          <w:tcPr>
            <w:tcW w:w="0" w:type="auto"/>
            <w:tcBorders>
              <w:top w:val="nil"/>
              <w:left w:val="nil"/>
              <w:bottom w:val="nil"/>
              <w:right w:val="nil"/>
            </w:tcBorders>
            <w:shd w:val="clear" w:color="auto" w:fill="FFFFFF"/>
            <w:noWrap/>
            <w:vAlign w:val="bottom"/>
          </w:tcPr>
          <w:p w14:paraId="642A43B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0.0930</w:t>
            </w:r>
          </w:p>
        </w:tc>
        <w:tc>
          <w:tcPr>
            <w:tcW w:w="0" w:type="auto"/>
            <w:tcBorders>
              <w:top w:val="nil"/>
              <w:left w:val="nil"/>
              <w:bottom w:val="nil"/>
              <w:right w:val="nil"/>
            </w:tcBorders>
            <w:shd w:val="clear" w:color="auto" w:fill="FFFFFF"/>
            <w:noWrap/>
            <w:vAlign w:val="bottom"/>
          </w:tcPr>
          <w:p w14:paraId="447537D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0.2775</w:t>
            </w:r>
          </w:p>
        </w:tc>
      </w:tr>
      <w:tr w:rsidR="00624AAA" w14:paraId="57503A92" w14:textId="77777777">
        <w:trPr>
          <w:trHeight w:val="288"/>
          <w:jc w:val="center"/>
        </w:trPr>
        <w:tc>
          <w:tcPr>
            <w:tcW w:w="0" w:type="auto"/>
            <w:tcBorders>
              <w:top w:val="nil"/>
              <w:left w:val="nil"/>
              <w:bottom w:val="nil"/>
              <w:right w:val="nil"/>
            </w:tcBorders>
            <w:shd w:val="clear" w:color="auto" w:fill="FFFFFF"/>
            <w:noWrap/>
            <w:vAlign w:val="bottom"/>
          </w:tcPr>
          <w:p w14:paraId="62E086C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3</w:t>
            </w:r>
          </w:p>
        </w:tc>
        <w:tc>
          <w:tcPr>
            <w:tcW w:w="0" w:type="auto"/>
            <w:tcBorders>
              <w:top w:val="nil"/>
              <w:left w:val="nil"/>
              <w:bottom w:val="nil"/>
              <w:right w:val="nil"/>
            </w:tcBorders>
            <w:shd w:val="clear" w:color="auto" w:fill="FFFFFF"/>
            <w:noWrap/>
            <w:vAlign w:val="bottom"/>
          </w:tcPr>
          <w:p w14:paraId="5AA0604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greeninvest</w:t>
            </w:r>
            <w:proofErr w:type="spellEnd"/>
          </w:p>
        </w:tc>
        <w:tc>
          <w:tcPr>
            <w:tcW w:w="0" w:type="auto"/>
            <w:tcBorders>
              <w:top w:val="nil"/>
              <w:left w:val="nil"/>
              <w:bottom w:val="nil"/>
              <w:right w:val="nil"/>
            </w:tcBorders>
            <w:shd w:val="clear" w:color="auto" w:fill="FFFFFF"/>
            <w:noWrap/>
            <w:vAlign w:val="bottom"/>
          </w:tcPr>
          <w:p w14:paraId="559B778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0.0524</w:t>
            </w:r>
          </w:p>
        </w:tc>
        <w:tc>
          <w:tcPr>
            <w:tcW w:w="0" w:type="auto"/>
            <w:tcBorders>
              <w:top w:val="nil"/>
              <w:left w:val="nil"/>
              <w:bottom w:val="nil"/>
              <w:right w:val="nil"/>
            </w:tcBorders>
            <w:shd w:val="clear" w:color="auto" w:fill="FFFFFF"/>
            <w:noWrap/>
            <w:vAlign w:val="bottom"/>
          </w:tcPr>
          <w:p w14:paraId="4844BB0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0.0738</w:t>
            </w:r>
          </w:p>
        </w:tc>
        <w:tc>
          <w:tcPr>
            <w:tcW w:w="0" w:type="auto"/>
            <w:tcBorders>
              <w:top w:val="nil"/>
              <w:left w:val="nil"/>
              <w:bottom w:val="nil"/>
              <w:right w:val="nil"/>
            </w:tcBorders>
            <w:shd w:val="clear" w:color="auto" w:fill="FFFFFF"/>
            <w:noWrap/>
            <w:vAlign w:val="bottom"/>
          </w:tcPr>
          <w:p w14:paraId="0FC6C3B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0.1262</w:t>
            </w:r>
          </w:p>
        </w:tc>
      </w:tr>
      <w:tr w:rsidR="00624AAA" w14:paraId="678F1145" w14:textId="77777777">
        <w:trPr>
          <w:trHeight w:val="288"/>
          <w:jc w:val="center"/>
        </w:trPr>
        <w:tc>
          <w:tcPr>
            <w:tcW w:w="0" w:type="auto"/>
            <w:tcBorders>
              <w:top w:val="nil"/>
              <w:left w:val="nil"/>
              <w:bottom w:val="nil"/>
              <w:right w:val="nil"/>
            </w:tcBorders>
            <w:shd w:val="clear" w:color="auto" w:fill="FFFFFF"/>
            <w:noWrap/>
            <w:vAlign w:val="bottom"/>
          </w:tcPr>
          <w:p w14:paraId="3BE3D81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4</w:t>
            </w:r>
          </w:p>
        </w:tc>
        <w:tc>
          <w:tcPr>
            <w:tcW w:w="0" w:type="auto"/>
            <w:tcBorders>
              <w:top w:val="nil"/>
              <w:left w:val="nil"/>
              <w:bottom w:val="nil"/>
              <w:right w:val="nil"/>
            </w:tcBorders>
            <w:shd w:val="clear" w:color="auto" w:fill="FFFFFF"/>
            <w:noWrap/>
            <w:vAlign w:val="bottom"/>
          </w:tcPr>
          <w:p w14:paraId="2EE6D20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greentran</w:t>
            </w:r>
            <w:proofErr w:type="spellEnd"/>
          </w:p>
        </w:tc>
        <w:tc>
          <w:tcPr>
            <w:tcW w:w="0" w:type="auto"/>
            <w:tcBorders>
              <w:top w:val="nil"/>
              <w:left w:val="nil"/>
              <w:bottom w:val="nil"/>
              <w:right w:val="nil"/>
            </w:tcBorders>
            <w:shd w:val="clear" w:color="auto" w:fill="FFFFFF"/>
            <w:noWrap/>
            <w:vAlign w:val="bottom"/>
          </w:tcPr>
          <w:p w14:paraId="6813922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0.0572</w:t>
            </w:r>
          </w:p>
        </w:tc>
        <w:tc>
          <w:tcPr>
            <w:tcW w:w="0" w:type="auto"/>
            <w:tcBorders>
              <w:top w:val="nil"/>
              <w:left w:val="nil"/>
              <w:bottom w:val="nil"/>
              <w:right w:val="nil"/>
            </w:tcBorders>
            <w:shd w:val="clear" w:color="auto" w:fill="FFFFFF"/>
            <w:noWrap/>
            <w:vAlign w:val="bottom"/>
          </w:tcPr>
          <w:p w14:paraId="51DA026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0.0687</w:t>
            </w:r>
          </w:p>
        </w:tc>
        <w:tc>
          <w:tcPr>
            <w:tcW w:w="0" w:type="auto"/>
            <w:tcBorders>
              <w:top w:val="nil"/>
              <w:left w:val="nil"/>
              <w:bottom w:val="nil"/>
              <w:right w:val="nil"/>
            </w:tcBorders>
            <w:shd w:val="clear" w:color="auto" w:fill="FFFFFF"/>
            <w:noWrap/>
            <w:vAlign w:val="bottom"/>
          </w:tcPr>
          <w:p w14:paraId="339B4AB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0.1258</w:t>
            </w:r>
          </w:p>
        </w:tc>
      </w:tr>
      <w:tr w:rsidR="00624AAA" w14:paraId="5DABD8DD" w14:textId="77777777">
        <w:trPr>
          <w:trHeight w:val="288"/>
          <w:jc w:val="center"/>
        </w:trPr>
        <w:tc>
          <w:tcPr>
            <w:tcW w:w="0" w:type="auto"/>
            <w:tcBorders>
              <w:top w:val="nil"/>
              <w:left w:val="nil"/>
              <w:bottom w:val="nil"/>
              <w:right w:val="nil"/>
            </w:tcBorders>
            <w:shd w:val="clear" w:color="auto" w:fill="FFFFFF"/>
            <w:noWrap/>
            <w:vAlign w:val="bottom"/>
          </w:tcPr>
          <w:p w14:paraId="7696716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5</w:t>
            </w:r>
          </w:p>
        </w:tc>
        <w:tc>
          <w:tcPr>
            <w:tcW w:w="0" w:type="auto"/>
            <w:tcBorders>
              <w:top w:val="nil"/>
              <w:left w:val="nil"/>
              <w:bottom w:val="nil"/>
              <w:right w:val="nil"/>
            </w:tcBorders>
            <w:shd w:val="clear" w:color="auto" w:fill="FFFFFF"/>
            <w:noWrap/>
            <w:vAlign w:val="bottom"/>
          </w:tcPr>
          <w:p w14:paraId="0488BD5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RDP</w:t>
            </w:r>
          </w:p>
        </w:tc>
        <w:tc>
          <w:tcPr>
            <w:tcW w:w="0" w:type="auto"/>
            <w:tcBorders>
              <w:top w:val="nil"/>
              <w:left w:val="nil"/>
              <w:bottom w:val="nil"/>
              <w:right w:val="nil"/>
            </w:tcBorders>
            <w:shd w:val="clear" w:color="auto" w:fill="FFFFFF"/>
            <w:noWrap/>
            <w:vAlign w:val="bottom"/>
          </w:tcPr>
          <w:p w14:paraId="0CD41BC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0.0432</w:t>
            </w:r>
          </w:p>
        </w:tc>
        <w:tc>
          <w:tcPr>
            <w:tcW w:w="0" w:type="auto"/>
            <w:tcBorders>
              <w:top w:val="nil"/>
              <w:left w:val="nil"/>
              <w:bottom w:val="nil"/>
              <w:right w:val="nil"/>
            </w:tcBorders>
            <w:shd w:val="clear" w:color="auto" w:fill="FFFFFF"/>
            <w:noWrap/>
            <w:vAlign w:val="bottom"/>
          </w:tcPr>
          <w:p w14:paraId="4039859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0.0737</w:t>
            </w:r>
          </w:p>
        </w:tc>
        <w:tc>
          <w:tcPr>
            <w:tcW w:w="0" w:type="auto"/>
            <w:tcBorders>
              <w:top w:val="nil"/>
              <w:left w:val="nil"/>
              <w:bottom w:val="nil"/>
              <w:right w:val="nil"/>
            </w:tcBorders>
            <w:shd w:val="clear" w:color="auto" w:fill="FFFFFF"/>
            <w:noWrap/>
            <w:vAlign w:val="bottom"/>
          </w:tcPr>
          <w:p w14:paraId="79C6E0D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0.1169</w:t>
            </w:r>
          </w:p>
        </w:tc>
      </w:tr>
      <w:tr w:rsidR="00624AAA" w14:paraId="3A5F4D66" w14:textId="77777777">
        <w:trPr>
          <w:trHeight w:val="288"/>
          <w:jc w:val="center"/>
        </w:trPr>
        <w:tc>
          <w:tcPr>
            <w:tcW w:w="0" w:type="auto"/>
            <w:tcBorders>
              <w:top w:val="nil"/>
              <w:left w:val="nil"/>
              <w:bottom w:val="nil"/>
              <w:right w:val="nil"/>
            </w:tcBorders>
            <w:shd w:val="clear" w:color="auto" w:fill="FFFFFF"/>
            <w:noWrap/>
            <w:vAlign w:val="bottom"/>
          </w:tcPr>
          <w:p w14:paraId="24AB8AC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6</w:t>
            </w:r>
          </w:p>
        </w:tc>
        <w:tc>
          <w:tcPr>
            <w:tcW w:w="0" w:type="auto"/>
            <w:tcBorders>
              <w:top w:val="nil"/>
              <w:left w:val="nil"/>
              <w:bottom w:val="nil"/>
              <w:right w:val="nil"/>
            </w:tcBorders>
            <w:shd w:val="clear" w:color="auto" w:fill="FFFFFF"/>
            <w:noWrap/>
            <w:vAlign w:val="bottom"/>
          </w:tcPr>
          <w:p w14:paraId="63F89F4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LT</w:t>
            </w:r>
          </w:p>
        </w:tc>
        <w:tc>
          <w:tcPr>
            <w:tcW w:w="0" w:type="auto"/>
            <w:tcBorders>
              <w:top w:val="nil"/>
              <w:left w:val="nil"/>
              <w:bottom w:val="nil"/>
              <w:right w:val="nil"/>
            </w:tcBorders>
            <w:shd w:val="clear" w:color="auto" w:fill="FFFFFF"/>
            <w:noWrap/>
            <w:vAlign w:val="bottom"/>
          </w:tcPr>
          <w:p w14:paraId="5402771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0.0472</w:t>
            </w:r>
          </w:p>
        </w:tc>
        <w:tc>
          <w:tcPr>
            <w:tcW w:w="0" w:type="auto"/>
            <w:tcBorders>
              <w:top w:val="nil"/>
              <w:left w:val="nil"/>
              <w:bottom w:val="nil"/>
              <w:right w:val="nil"/>
            </w:tcBorders>
            <w:shd w:val="clear" w:color="auto" w:fill="FFFFFF"/>
            <w:noWrap/>
            <w:vAlign w:val="bottom"/>
          </w:tcPr>
          <w:p w14:paraId="7D9EF46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0.0633</w:t>
            </w:r>
          </w:p>
        </w:tc>
        <w:tc>
          <w:tcPr>
            <w:tcW w:w="0" w:type="auto"/>
            <w:tcBorders>
              <w:top w:val="nil"/>
              <w:left w:val="nil"/>
              <w:bottom w:val="nil"/>
              <w:right w:val="nil"/>
            </w:tcBorders>
            <w:shd w:val="clear" w:color="auto" w:fill="FFFFFF"/>
            <w:noWrap/>
            <w:vAlign w:val="bottom"/>
          </w:tcPr>
          <w:p w14:paraId="5613382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0.1105</w:t>
            </w:r>
          </w:p>
        </w:tc>
      </w:tr>
      <w:tr w:rsidR="00624AAA" w14:paraId="27518D48" w14:textId="77777777">
        <w:trPr>
          <w:trHeight w:val="288"/>
          <w:jc w:val="center"/>
        </w:trPr>
        <w:tc>
          <w:tcPr>
            <w:tcW w:w="0" w:type="auto"/>
            <w:tcBorders>
              <w:top w:val="nil"/>
              <w:left w:val="nil"/>
              <w:bottom w:val="nil"/>
              <w:right w:val="nil"/>
            </w:tcBorders>
            <w:shd w:val="clear" w:color="auto" w:fill="FFFFFF"/>
            <w:noWrap/>
            <w:vAlign w:val="bottom"/>
          </w:tcPr>
          <w:p w14:paraId="7529123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7</w:t>
            </w:r>
          </w:p>
        </w:tc>
        <w:tc>
          <w:tcPr>
            <w:tcW w:w="0" w:type="auto"/>
            <w:tcBorders>
              <w:top w:val="nil"/>
              <w:left w:val="nil"/>
              <w:bottom w:val="nil"/>
              <w:right w:val="nil"/>
            </w:tcBorders>
            <w:shd w:val="clear" w:color="auto" w:fill="FFFFFF"/>
            <w:noWrap/>
            <w:vAlign w:val="bottom"/>
          </w:tcPr>
          <w:p w14:paraId="43AD228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CENSU</w:t>
            </w:r>
          </w:p>
        </w:tc>
        <w:tc>
          <w:tcPr>
            <w:tcW w:w="0" w:type="auto"/>
            <w:tcBorders>
              <w:top w:val="nil"/>
              <w:left w:val="nil"/>
              <w:bottom w:val="nil"/>
              <w:right w:val="nil"/>
            </w:tcBorders>
            <w:shd w:val="clear" w:color="auto" w:fill="FFFFFF"/>
            <w:noWrap/>
            <w:vAlign w:val="bottom"/>
          </w:tcPr>
          <w:p w14:paraId="641328D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0.0499</w:t>
            </w:r>
          </w:p>
        </w:tc>
        <w:tc>
          <w:tcPr>
            <w:tcW w:w="0" w:type="auto"/>
            <w:tcBorders>
              <w:top w:val="nil"/>
              <w:left w:val="nil"/>
              <w:bottom w:val="nil"/>
              <w:right w:val="nil"/>
            </w:tcBorders>
            <w:shd w:val="clear" w:color="auto" w:fill="FFFFFF"/>
            <w:noWrap/>
            <w:vAlign w:val="bottom"/>
          </w:tcPr>
          <w:p w14:paraId="4E1324C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0.0559</w:t>
            </w:r>
          </w:p>
        </w:tc>
        <w:tc>
          <w:tcPr>
            <w:tcW w:w="0" w:type="auto"/>
            <w:tcBorders>
              <w:top w:val="nil"/>
              <w:left w:val="nil"/>
              <w:bottom w:val="nil"/>
              <w:right w:val="nil"/>
            </w:tcBorders>
            <w:shd w:val="clear" w:color="auto" w:fill="FFFFFF"/>
            <w:noWrap/>
            <w:vAlign w:val="bottom"/>
          </w:tcPr>
          <w:p w14:paraId="4F771AF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0.1058</w:t>
            </w:r>
          </w:p>
        </w:tc>
      </w:tr>
      <w:tr w:rsidR="00624AAA" w14:paraId="6534DCBC" w14:textId="77777777">
        <w:trPr>
          <w:trHeight w:val="288"/>
          <w:jc w:val="center"/>
        </w:trPr>
        <w:tc>
          <w:tcPr>
            <w:tcW w:w="0" w:type="auto"/>
            <w:tcBorders>
              <w:top w:val="nil"/>
              <w:left w:val="nil"/>
              <w:bottom w:val="nil"/>
              <w:right w:val="nil"/>
            </w:tcBorders>
            <w:shd w:val="clear" w:color="auto" w:fill="FFFFFF"/>
            <w:noWrap/>
            <w:vAlign w:val="bottom"/>
          </w:tcPr>
          <w:p w14:paraId="7EA5D50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lastRenderedPageBreak/>
              <w:t>8</w:t>
            </w:r>
          </w:p>
        </w:tc>
        <w:tc>
          <w:tcPr>
            <w:tcW w:w="0" w:type="auto"/>
            <w:tcBorders>
              <w:top w:val="nil"/>
              <w:left w:val="nil"/>
              <w:bottom w:val="nil"/>
              <w:right w:val="nil"/>
            </w:tcBorders>
            <w:shd w:val="clear" w:color="auto" w:fill="FFFFFF"/>
            <w:noWrap/>
            <w:vAlign w:val="bottom"/>
          </w:tcPr>
          <w:p w14:paraId="3AEB420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erse</w:t>
            </w:r>
            <w:proofErr w:type="spellEnd"/>
          </w:p>
        </w:tc>
        <w:tc>
          <w:tcPr>
            <w:tcW w:w="0" w:type="auto"/>
            <w:tcBorders>
              <w:top w:val="nil"/>
              <w:left w:val="nil"/>
              <w:bottom w:val="nil"/>
              <w:right w:val="nil"/>
            </w:tcBorders>
            <w:shd w:val="clear" w:color="auto" w:fill="FFFFFF"/>
            <w:noWrap/>
            <w:vAlign w:val="bottom"/>
          </w:tcPr>
          <w:p w14:paraId="6E507BA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0.0430</w:t>
            </w:r>
          </w:p>
        </w:tc>
        <w:tc>
          <w:tcPr>
            <w:tcW w:w="0" w:type="auto"/>
            <w:tcBorders>
              <w:top w:val="nil"/>
              <w:left w:val="nil"/>
              <w:bottom w:val="nil"/>
              <w:right w:val="nil"/>
            </w:tcBorders>
            <w:shd w:val="clear" w:color="auto" w:fill="FFFFFF"/>
            <w:noWrap/>
            <w:vAlign w:val="bottom"/>
          </w:tcPr>
          <w:p w14:paraId="20A58F17"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0.0583</w:t>
            </w:r>
          </w:p>
        </w:tc>
        <w:tc>
          <w:tcPr>
            <w:tcW w:w="0" w:type="auto"/>
            <w:tcBorders>
              <w:top w:val="nil"/>
              <w:left w:val="nil"/>
              <w:bottom w:val="nil"/>
              <w:right w:val="nil"/>
            </w:tcBorders>
            <w:shd w:val="clear" w:color="auto" w:fill="FFFFFF"/>
            <w:noWrap/>
            <w:vAlign w:val="bottom"/>
          </w:tcPr>
          <w:p w14:paraId="0A6F26E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0.1012</w:t>
            </w:r>
          </w:p>
        </w:tc>
      </w:tr>
      <w:tr w:rsidR="00624AAA" w14:paraId="24B9EF6D" w14:textId="77777777">
        <w:trPr>
          <w:trHeight w:val="288"/>
          <w:jc w:val="center"/>
        </w:trPr>
        <w:tc>
          <w:tcPr>
            <w:tcW w:w="0" w:type="auto"/>
            <w:tcBorders>
              <w:top w:val="nil"/>
              <w:left w:val="nil"/>
              <w:bottom w:val="nil"/>
              <w:right w:val="nil"/>
            </w:tcBorders>
            <w:shd w:val="clear" w:color="auto" w:fill="FFFFFF"/>
            <w:noWrap/>
            <w:vAlign w:val="bottom"/>
          </w:tcPr>
          <w:p w14:paraId="3805108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9</w:t>
            </w:r>
          </w:p>
        </w:tc>
        <w:tc>
          <w:tcPr>
            <w:tcW w:w="0" w:type="auto"/>
            <w:tcBorders>
              <w:top w:val="nil"/>
              <w:left w:val="nil"/>
              <w:bottom w:val="nil"/>
              <w:right w:val="nil"/>
            </w:tcBorders>
            <w:shd w:val="clear" w:color="auto" w:fill="FFFFFF"/>
            <w:noWrap/>
            <w:vAlign w:val="bottom"/>
          </w:tcPr>
          <w:p w14:paraId="355905E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ART</w:t>
            </w:r>
          </w:p>
        </w:tc>
        <w:tc>
          <w:tcPr>
            <w:tcW w:w="0" w:type="auto"/>
            <w:tcBorders>
              <w:top w:val="nil"/>
              <w:left w:val="nil"/>
              <w:bottom w:val="nil"/>
              <w:right w:val="nil"/>
            </w:tcBorders>
            <w:shd w:val="clear" w:color="auto" w:fill="FFFFFF"/>
            <w:noWrap/>
            <w:vAlign w:val="bottom"/>
          </w:tcPr>
          <w:p w14:paraId="334370F7"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0.0460</w:t>
            </w:r>
          </w:p>
        </w:tc>
        <w:tc>
          <w:tcPr>
            <w:tcW w:w="0" w:type="auto"/>
            <w:tcBorders>
              <w:top w:val="nil"/>
              <w:left w:val="nil"/>
              <w:bottom w:val="nil"/>
              <w:right w:val="nil"/>
            </w:tcBorders>
            <w:shd w:val="clear" w:color="auto" w:fill="FFFFFF"/>
            <w:noWrap/>
            <w:vAlign w:val="bottom"/>
          </w:tcPr>
          <w:p w14:paraId="3D51809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0.0462</w:t>
            </w:r>
          </w:p>
        </w:tc>
        <w:tc>
          <w:tcPr>
            <w:tcW w:w="0" w:type="auto"/>
            <w:tcBorders>
              <w:top w:val="nil"/>
              <w:left w:val="nil"/>
              <w:bottom w:val="nil"/>
              <w:right w:val="nil"/>
            </w:tcBorders>
            <w:shd w:val="clear" w:color="auto" w:fill="FFFFFF"/>
            <w:noWrap/>
            <w:vAlign w:val="bottom"/>
          </w:tcPr>
          <w:p w14:paraId="7ABFA21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0.0921</w:t>
            </w:r>
          </w:p>
        </w:tc>
      </w:tr>
      <w:tr w:rsidR="00624AAA" w14:paraId="3CC2B239" w14:textId="77777777">
        <w:trPr>
          <w:trHeight w:val="288"/>
          <w:jc w:val="center"/>
        </w:trPr>
        <w:tc>
          <w:tcPr>
            <w:tcW w:w="0" w:type="auto"/>
            <w:tcBorders>
              <w:top w:val="nil"/>
              <w:left w:val="nil"/>
              <w:bottom w:val="nil"/>
              <w:right w:val="nil"/>
            </w:tcBorders>
            <w:shd w:val="clear" w:color="auto" w:fill="FFFFFF"/>
            <w:noWrap/>
            <w:vAlign w:val="bottom"/>
          </w:tcPr>
          <w:p w14:paraId="0C22DC6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10</w:t>
            </w:r>
          </w:p>
        </w:tc>
        <w:tc>
          <w:tcPr>
            <w:tcW w:w="0" w:type="auto"/>
            <w:tcBorders>
              <w:top w:val="nil"/>
              <w:left w:val="nil"/>
              <w:bottom w:val="nil"/>
              <w:right w:val="nil"/>
            </w:tcBorders>
            <w:shd w:val="clear" w:color="auto" w:fill="FFFFFF"/>
            <w:noWrap/>
            <w:vAlign w:val="bottom"/>
          </w:tcPr>
          <w:p w14:paraId="306D160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APT</w:t>
            </w:r>
          </w:p>
        </w:tc>
        <w:tc>
          <w:tcPr>
            <w:tcW w:w="0" w:type="auto"/>
            <w:tcBorders>
              <w:top w:val="nil"/>
              <w:left w:val="nil"/>
              <w:bottom w:val="nil"/>
              <w:right w:val="nil"/>
            </w:tcBorders>
            <w:shd w:val="clear" w:color="auto" w:fill="FFFFFF"/>
            <w:noWrap/>
            <w:vAlign w:val="bottom"/>
          </w:tcPr>
          <w:p w14:paraId="63F4065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0.0316</w:t>
            </w:r>
          </w:p>
        </w:tc>
        <w:tc>
          <w:tcPr>
            <w:tcW w:w="0" w:type="auto"/>
            <w:tcBorders>
              <w:top w:val="nil"/>
              <w:left w:val="nil"/>
              <w:bottom w:val="nil"/>
              <w:right w:val="nil"/>
            </w:tcBorders>
            <w:shd w:val="clear" w:color="auto" w:fill="FFFFFF"/>
            <w:noWrap/>
            <w:vAlign w:val="bottom"/>
          </w:tcPr>
          <w:p w14:paraId="23A4A0C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0.0591</w:t>
            </w:r>
          </w:p>
        </w:tc>
        <w:tc>
          <w:tcPr>
            <w:tcW w:w="0" w:type="auto"/>
            <w:tcBorders>
              <w:top w:val="nil"/>
              <w:left w:val="nil"/>
              <w:bottom w:val="nil"/>
              <w:right w:val="nil"/>
            </w:tcBorders>
            <w:shd w:val="clear" w:color="auto" w:fill="FFFFFF"/>
            <w:noWrap/>
            <w:vAlign w:val="bottom"/>
          </w:tcPr>
          <w:p w14:paraId="7DB8FCA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0.0906</w:t>
            </w:r>
          </w:p>
        </w:tc>
      </w:tr>
      <w:tr w:rsidR="00624AAA" w14:paraId="4491A62E" w14:textId="77777777">
        <w:trPr>
          <w:trHeight w:val="288"/>
          <w:jc w:val="center"/>
        </w:trPr>
        <w:tc>
          <w:tcPr>
            <w:tcW w:w="0" w:type="auto"/>
            <w:tcBorders>
              <w:top w:val="nil"/>
              <w:left w:val="nil"/>
              <w:bottom w:val="nil"/>
              <w:right w:val="nil"/>
            </w:tcBorders>
            <w:shd w:val="clear" w:color="auto" w:fill="FFFFFF"/>
            <w:noWrap/>
            <w:vAlign w:val="bottom"/>
          </w:tcPr>
          <w:p w14:paraId="143BF6D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11</w:t>
            </w:r>
          </w:p>
        </w:tc>
        <w:tc>
          <w:tcPr>
            <w:tcW w:w="0" w:type="auto"/>
            <w:tcBorders>
              <w:top w:val="nil"/>
              <w:left w:val="nil"/>
              <w:bottom w:val="nil"/>
              <w:right w:val="nil"/>
            </w:tcBorders>
            <w:shd w:val="clear" w:color="auto" w:fill="FFFFFF"/>
            <w:noWrap/>
            <w:vAlign w:val="bottom"/>
          </w:tcPr>
          <w:p w14:paraId="5B7A8B6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OT</w:t>
            </w:r>
          </w:p>
        </w:tc>
        <w:tc>
          <w:tcPr>
            <w:tcW w:w="0" w:type="auto"/>
            <w:tcBorders>
              <w:top w:val="nil"/>
              <w:left w:val="nil"/>
              <w:bottom w:val="nil"/>
              <w:right w:val="nil"/>
            </w:tcBorders>
            <w:shd w:val="clear" w:color="auto" w:fill="FFFFFF"/>
            <w:noWrap/>
            <w:vAlign w:val="bottom"/>
          </w:tcPr>
          <w:p w14:paraId="07429F5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0.0314</w:t>
            </w:r>
          </w:p>
        </w:tc>
        <w:tc>
          <w:tcPr>
            <w:tcW w:w="0" w:type="auto"/>
            <w:tcBorders>
              <w:top w:val="nil"/>
              <w:left w:val="nil"/>
              <w:bottom w:val="nil"/>
              <w:right w:val="nil"/>
            </w:tcBorders>
            <w:shd w:val="clear" w:color="auto" w:fill="FFFFFF"/>
            <w:noWrap/>
            <w:vAlign w:val="bottom"/>
          </w:tcPr>
          <w:p w14:paraId="21E7E44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0.0501</w:t>
            </w:r>
          </w:p>
        </w:tc>
        <w:tc>
          <w:tcPr>
            <w:tcW w:w="0" w:type="auto"/>
            <w:tcBorders>
              <w:top w:val="nil"/>
              <w:left w:val="nil"/>
              <w:bottom w:val="nil"/>
              <w:right w:val="nil"/>
            </w:tcBorders>
            <w:shd w:val="clear" w:color="auto" w:fill="FFFFFF"/>
            <w:noWrap/>
            <w:vAlign w:val="bottom"/>
          </w:tcPr>
          <w:p w14:paraId="582CAA6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0.0815</w:t>
            </w:r>
          </w:p>
        </w:tc>
      </w:tr>
      <w:tr w:rsidR="00624AAA" w14:paraId="642D3154" w14:textId="77777777">
        <w:trPr>
          <w:trHeight w:val="288"/>
          <w:jc w:val="center"/>
        </w:trPr>
        <w:tc>
          <w:tcPr>
            <w:tcW w:w="0" w:type="auto"/>
            <w:tcBorders>
              <w:top w:val="nil"/>
              <w:left w:val="nil"/>
              <w:bottom w:val="nil"/>
              <w:right w:val="nil"/>
            </w:tcBorders>
            <w:shd w:val="clear" w:color="auto" w:fill="FFFFFF"/>
            <w:noWrap/>
            <w:vAlign w:val="bottom"/>
          </w:tcPr>
          <w:p w14:paraId="22A1031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12</w:t>
            </w:r>
          </w:p>
        </w:tc>
        <w:tc>
          <w:tcPr>
            <w:tcW w:w="0" w:type="auto"/>
            <w:tcBorders>
              <w:top w:val="nil"/>
              <w:left w:val="nil"/>
              <w:bottom w:val="nil"/>
              <w:right w:val="nil"/>
            </w:tcBorders>
            <w:shd w:val="clear" w:color="auto" w:fill="FFFFFF"/>
            <w:noWrap/>
            <w:vAlign w:val="bottom"/>
          </w:tcPr>
          <w:p w14:paraId="16011F3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GNFO</w:t>
            </w:r>
          </w:p>
        </w:tc>
        <w:tc>
          <w:tcPr>
            <w:tcW w:w="0" w:type="auto"/>
            <w:tcBorders>
              <w:top w:val="nil"/>
              <w:left w:val="nil"/>
              <w:bottom w:val="nil"/>
              <w:right w:val="nil"/>
            </w:tcBorders>
            <w:shd w:val="clear" w:color="auto" w:fill="FFFFFF"/>
            <w:noWrap/>
            <w:vAlign w:val="bottom"/>
          </w:tcPr>
          <w:p w14:paraId="4416625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0.0254</w:t>
            </w:r>
          </w:p>
        </w:tc>
        <w:tc>
          <w:tcPr>
            <w:tcW w:w="0" w:type="auto"/>
            <w:tcBorders>
              <w:top w:val="nil"/>
              <w:left w:val="nil"/>
              <w:bottom w:val="nil"/>
              <w:right w:val="nil"/>
            </w:tcBorders>
            <w:shd w:val="clear" w:color="auto" w:fill="FFFFFF"/>
            <w:noWrap/>
            <w:vAlign w:val="bottom"/>
          </w:tcPr>
          <w:p w14:paraId="29C828C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0.0336</w:t>
            </w:r>
          </w:p>
        </w:tc>
        <w:tc>
          <w:tcPr>
            <w:tcW w:w="0" w:type="auto"/>
            <w:tcBorders>
              <w:top w:val="nil"/>
              <w:left w:val="nil"/>
              <w:bottom w:val="nil"/>
              <w:right w:val="nil"/>
            </w:tcBorders>
            <w:shd w:val="clear" w:color="auto" w:fill="FFFFFF"/>
            <w:noWrap/>
            <w:vAlign w:val="bottom"/>
          </w:tcPr>
          <w:p w14:paraId="7ED24850"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0.0590</w:t>
            </w:r>
          </w:p>
        </w:tc>
      </w:tr>
      <w:tr w:rsidR="00624AAA" w14:paraId="16E3C4C2" w14:textId="77777777">
        <w:trPr>
          <w:trHeight w:val="288"/>
          <w:jc w:val="center"/>
        </w:trPr>
        <w:tc>
          <w:tcPr>
            <w:tcW w:w="0" w:type="auto"/>
            <w:tcBorders>
              <w:top w:val="nil"/>
              <w:left w:val="nil"/>
              <w:bottom w:val="nil"/>
              <w:right w:val="nil"/>
            </w:tcBorders>
            <w:shd w:val="clear" w:color="auto" w:fill="FFFFFF"/>
            <w:noWrap/>
            <w:vAlign w:val="bottom"/>
          </w:tcPr>
          <w:p w14:paraId="34CA3E8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13</w:t>
            </w:r>
          </w:p>
        </w:tc>
        <w:tc>
          <w:tcPr>
            <w:tcW w:w="0" w:type="auto"/>
            <w:tcBorders>
              <w:top w:val="nil"/>
              <w:left w:val="nil"/>
              <w:bottom w:val="nil"/>
              <w:right w:val="nil"/>
            </w:tcBorders>
            <w:shd w:val="clear" w:color="auto" w:fill="FFFFFF"/>
            <w:noWrap/>
            <w:vAlign w:val="bottom"/>
          </w:tcPr>
          <w:p w14:paraId="4DCE9BA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RDQ</w:t>
            </w:r>
          </w:p>
        </w:tc>
        <w:tc>
          <w:tcPr>
            <w:tcW w:w="0" w:type="auto"/>
            <w:tcBorders>
              <w:top w:val="nil"/>
              <w:left w:val="nil"/>
              <w:bottom w:val="nil"/>
              <w:right w:val="nil"/>
            </w:tcBorders>
            <w:shd w:val="clear" w:color="auto" w:fill="FFFFFF"/>
            <w:noWrap/>
            <w:vAlign w:val="bottom"/>
          </w:tcPr>
          <w:p w14:paraId="0A36869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0.0194</w:t>
            </w:r>
          </w:p>
        </w:tc>
        <w:tc>
          <w:tcPr>
            <w:tcW w:w="0" w:type="auto"/>
            <w:tcBorders>
              <w:top w:val="nil"/>
              <w:left w:val="nil"/>
              <w:bottom w:val="nil"/>
              <w:right w:val="nil"/>
            </w:tcBorders>
            <w:shd w:val="clear" w:color="auto" w:fill="FFFFFF"/>
            <w:noWrap/>
            <w:vAlign w:val="bottom"/>
          </w:tcPr>
          <w:p w14:paraId="68D5899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0.0220</w:t>
            </w:r>
          </w:p>
        </w:tc>
        <w:tc>
          <w:tcPr>
            <w:tcW w:w="0" w:type="auto"/>
            <w:tcBorders>
              <w:top w:val="nil"/>
              <w:left w:val="nil"/>
              <w:bottom w:val="nil"/>
              <w:right w:val="nil"/>
            </w:tcBorders>
            <w:shd w:val="clear" w:color="auto" w:fill="FFFFFF"/>
            <w:noWrap/>
            <w:vAlign w:val="bottom"/>
          </w:tcPr>
          <w:p w14:paraId="630D78E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0.0415</w:t>
            </w:r>
          </w:p>
        </w:tc>
      </w:tr>
      <w:tr w:rsidR="00624AAA" w14:paraId="388CD795" w14:textId="77777777">
        <w:trPr>
          <w:trHeight w:val="288"/>
          <w:jc w:val="center"/>
        </w:trPr>
        <w:tc>
          <w:tcPr>
            <w:tcW w:w="0" w:type="auto"/>
            <w:tcBorders>
              <w:top w:val="nil"/>
              <w:left w:val="nil"/>
              <w:bottom w:val="nil"/>
              <w:right w:val="nil"/>
            </w:tcBorders>
            <w:shd w:val="clear" w:color="auto" w:fill="FFFFFF"/>
            <w:noWrap/>
            <w:vAlign w:val="bottom"/>
          </w:tcPr>
          <w:p w14:paraId="3AFFF89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14</w:t>
            </w:r>
          </w:p>
        </w:tc>
        <w:tc>
          <w:tcPr>
            <w:tcW w:w="0" w:type="auto"/>
            <w:tcBorders>
              <w:top w:val="nil"/>
              <w:left w:val="nil"/>
              <w:bottom w:val="nil"/>
              <w:right w:val="nil"/>
            </w:tcBorders>
            <w:shd w:val="clear" w:color="auto" w:fill="FFFFFF"/>
            <w:noWrap/>
            <w:vAlign w:val="bottom"/>
          </w:tcPr>
          <w:p w14:paraId="08F119A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proofErr w:type="spellStart"/>
            <w:r>
              <w:rPr>
                <w:rFonts w:ascii="Palatino Linotype" w:eastAsia="Times New Roman" w:hAnsi="Palatino Linotype" w:cs="Times New Roman"/>
                <w:snapToGrid w:val="0"/>
                <w:color w:val="000000"/>
                <w:kern w:val="0"/>
                <w:sz w:val="20"/>
                <w:szCs w:val="20"/>
                <w:lang w:bidi="en-US"/>
              </w:rPr>
              <w:t>greenmanagement</w:t>
            </w:r>
            <w:proofErr w:type="spellEnd"/>
          </w:p>
        </w:tc>
        <w:tc>
          <w:tcPr>
            <w:tcW w:w="0" w:type="auto"/>
            <w:tcBorders>
              <w:top w:val="nil"/>
              <w:left w:val="nil"/>
              <w:bottom w:val="nil"/>
              <w:right w:val="nil"/>
            </w:tcBorders>
            <w:shd w:val="clear" w:color="auto" w:fill="FFFFFF"/>
            <w:noWrap/>
            <w:vAlign w:val="bottom"/>
          </w:tcPr>
          <w:p w14:paraId="24717F6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0.0093</w:t>
            </w:r>
          </w:p>
        </w:tc>
        <w:tc>
          <w:tcPr>
            <w:tcW w:w="0" w:type="auto"/>
            <w:tcBorders>
              <w:top w:val="nil"/>
              <w:left w:val="nil"/>
              <w:bottom w:val="nil"/>
              <w:right w:val="nil"/>
            </w:tcBorders>
            <w:shd w:val="clear" w:color="auto" w:fill="FFFFFF"/>
            <w:noWrap/>
            <w:vAlign w:val="bottom"/>
          </w:tcPr>
          <w:p w14:paraId="313219B8"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0.0101</w:t>
            </w:r>
          </w:p>
        </w:tc>
        <w:tc>
          <w:tcPr>
            <w:tcW w:w="0" w:type="auto"/>
            <w:tcBorders>
              <w:top w:val="nil"/>
              <w:left w:val="nil"/>
              <w:bottom w:val="nil"/>
              <w:right w:val="nil"/>
            </w:tcBorders>
            <w:shd w:val="clear" w:color="auto" w:fill="FFFFFF"/>
            <w:noWrap/>
            <w:vAlign w:val="bottom"/>
          </w:tcPr>
          <w:p w14:paraId="6A11664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0.0194</w:t>
            </w:r>
          </w:p>
        </w:tc>
      </w:tr>
      <w:tr w:rsidR="00624AAA" w14:paraId="70C201CB" w14:textId="77777777">
        <w:trPr>
          <w:trHeight w:val="288"/>
          <w:jc w:val="center"/>
        </w:trPr>
        <w:tc>
          <w:tcPr>
            <w:tcW w:w="0" w:type="auto"/>
            <w:tcBorders>
              <w:top w:val="nil"/>
              <w:left w:val="nil"/>
              <w:bottom w:val="nil"/>
              <w:right w:val="nil"/>
            </w:tcBorders>
            <w:shd w:val="clear" w:color="auto" w:fill="FFFFFF"/>
            <w:noWrap/>
            <w:vAlign w:val="bottom"/>
          </w:tcPr>
          <w:p w14:paraId="0E372E4C"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15</w:t>
            </w:r>
          </w:p>
        </w:tc>
        <w:tc>
          <w:tcPr>
            <w:tcW w:w="0" w:type="auto"/>
            <w:tcBorders>
              <w:top w:val="nil"/>
              <w:left w:val="nil"/>
              <w:bottom w:val="nil"/>
              <w:right w:val="nil"/>
            </w:tcBorders>
            <w:shd w:val="clear" w:color="auto" w:fill="FFFFFF"/>
            <w:noWrap/>
            <w:vAlign w:val="bottom"/>
          </w:tcPr>
          <w:p w14:paraId="75F7D1C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SUC</w:t>
            </w:r>
          </w:p>
        </w:tc>
        <w:tc>
          <w:tcPr>
            <w:tcW w:w="0" w:type="auto"/>
            <w:tcBorders>
              <w:top w:val="nil"/>
              <w:left w:val="nil"/>
              <w:bottom w:val="nil"/>
              <w:right w:val="nil"/>
            </w:tcBorders>
            <w:shd w:val="clear" w:color="auto" w:fill="FFFFFF"/>
            <w:noWrap/>
            <w:vAlign w:val="bottom"/>
          </w:tcPr>
          <w:p w14:paraId="3F38AE8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0.0104</w:t>
            </w:r>
          </w:p>
        </w:tc>
        <w:tc>
          <w:tcPr>
            <w:tcW w:w="0" w:type="auto"/>
            <w:tcBorders>
              <w:top w:val="nil"/>
              <w:left w:val="nil"/>
              <w:bottom w:val="nil"/>
              <w:right w:val="nil"/>
            </w:tcBorders>
            <w:shd w:val="clear" w:color="auto" w:fill="FFFFFF"/>
            <w:noWrap/>
            <w:vAlign w:val="bottom"/>
          </w:tcPr>
          <w:p w14:paraId="7C8BE055"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0.0064</w:t>
            </w:r>
          </w:p>
        </w:tc>
        <w:tc>
          <w:tcPr>
            <w:tcW w:w="0" w:type="auto"/>
            <w:tcBorders>
              <w:top w:val="nil"/>
              <w:left w:val="nil"/>
              <w:bottom w:val="nil"/>
              <w:right w:val="nil"/>
            </w:tcBorders>
            <w:shd w:val="clear" w:color="auto" w:fill="FFFFFF"/>
            <w:noWrap/>
            <w:vAlign w:val="bottom"/>
          </w:tcPr>
          <w:p w14:paraId="1D2A09A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0.0168</w:t>
            </w:r>
          </w:p>
        </w:tc>
      </w:tr>
      <w:tr w:rsidR="00624AAA" w14:paraId="1DD09A91" w14:textId="77777777">
        <w:trPr>
          <w:trHeight w:val="288"/>
          <w:jc w:val="center"/>
        </w:trPr>
        <w:tc>
          <w:tcPr>
            <w:tcW w:w="0" w:type="auto"/>
            <w:tcBorders>
              <w:top w:val="nil"/>
              <w:left w:val="nil"/>
              <w:bottom w:val="single" w:sz="12" w:space="0" w:color="000000"/>
              <w:right w:val="nil"/>
            </w:tcBorders>
            <w:shd w:val="clear" w:color="auto" w:fill="FFFFFF"/>
            <w:noWrap/>
            <w:vAlign w:val="bottom"/>
          </w:tcPr>
          <w:p w14:paraId="5DCBC1AE"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16</w:t>
            </w:r>
          </w:p>
        </w:tc>
        <w:tc>
          <w:tcPr>
            <w:tcW w:w="0" w:type="auto"/>
            <w:tcBorders>
              <w:top w:val="nil"/>
              <w:left w:val="nil"/>
              <w:bottom w:val="single" w:sz="12" w:space="0" w:color="000000"/>
              <w:right w:val="nil"/>
            </w:tcBorders>
            <w:shd w:val="clear" w:color="auto" w:fill="FFFFFF"/>
            <w:noWrap/>
            <w:vAlign w:val="bottom"/>
          </w:tcPr>
          <w:p w14:paraId="6CD210A4"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RDC</w:t>
            </w:r>
          </w:p>
        </w:tc>
        <w:tc>
          <w:tcPr>
            <w:tcW w:w="0" w:type="auto"/>
            <w:tcBorders>
              <w:top w:val="nil"/>
              <w:left w:val="nil"/>
              <w:bottom w:val="single" w:sz="12" w:space="0" w:color="000000"/>
              <w:right w:val="nil"/>
            </w:tcBorders>
            <w:shd w:val="clear" w:color="auto" w:fill="FFFFFF"/>
            <w:noWrap/>
            <w:vAlign w:val="bottom"/>
          </w:tcPr>
          <w:p w14:paraId="51D55B0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0.0055</w:t>
            </w:r>
          </w:p>
        </w:tc>
        <w:tc>
          <w:tcPr>
            <w:tcW w:w="0" w:type="auto"/>
            <w:tcBorders>
              <w:top w:val="nil"/>
              <w:left w:val="nil"/>
              <w:bottom w:val="single" w:sz="12" w:space="0" w:color="000000"/>
              <w:right w:val="nil"/>
            </w:tcBorders>
            <w:shd w:val="clear" w:color="auto" w:fill="FFFFFF"/>
            <w:noWrap/>
            <w:vAlign w:val="bottom"/>
          </w:tcPr>
          <w:p w14:paraId="0111709D"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0.0065</w:t>
            </w:r>
          </w:p>
        </w:tc>
        <w:tc>
          <w:tcPr>
            <w:tcW w:w="0" w:type="auto"/>
            <w:tcBorders>
              <w:top w:val="nil"/>
              <w:left w:val="nil"/>
              <w:bottom w:val="single" w:sz="12" w:space="0" w:color="000000"/>
              <w:right w:val="nil"/>
            </w:tcBorders>
            <w:shd w:val="clear" w:color="auto" w:fill="FFFFFF"/>
            <w:noWrap/>
            <w:vAlign w:val="bottom"/>
          </w:tcPr>
          <w:p w14:paraId="1519E77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0.0120</w:t>
            </w:r>
          </w:p>
        </w:tc>
      </w:tr>
    </w:tbl>
    <w:p w14:paraId="66C67AB6" w14:textId="77777777" w:rsidR="00624AAA" w:rsidRDefault="00C46345">
      <w:pPr>
        <w:spacing w:line="280" w:lineRule="exact"/>
        <w:rPr>
          <w:rFonts w:ascii="Times New Roman" w:eastAsia="SimSun" w:hAnsi="Times New Roman" w:cs="Times New Roman"/>
          <w:sz w:val="20"/>
          <w:szCs w:val="20"/>
        </w:rPr>
      </w:pPr>
      <w:r>
        <w:rPr>
          <w:rFonts w:ascii="Palatino Linotype" w:eastAsia="Times New Roman" w:hAnsi="Palatino Linotype" w:cs="Times New Roman"/>
          <w:snapToGrid w:val="0"/>
          <w:color w:val="000000"/>
          <w:kern w:val="0"/>
          <w:sz w:val="20"/>
          <w:szCs w:val="20"/>
          <w:lang w:bidi="en-US"/>
        </w:rPr>
        <w:t>(Source: Own elaboration based on the main context of the paper).</w:t>
      </w:r>
    </w:p>
    <w:p w14:paraId="675E8BFE" w14:textId="77777777" w:rsidR="00624AAA" w:rsidRDefault="00624AAA">
      <w:pPr>
        <w:rPr>
          <w:rFonts w:ascii="Times New Roman" w:eastAsia="SimSun" w:hAnsi="Times New Roman" w:cs="Times New Roman"/>
        </w:rPr>
      </w:pPr>
    </w:p>
    <w:p w14:paraId="312D78C6" w14:textId="77777777" w:rsidR="00624AAA" w:rsidRDefault="00C46345">
      <w:pPr>
        <w:pStyle w:val="NormalWeb"/>
        <w:widowControl/>
        <w:rPr>
          <w:rFonts w:ascii="Times New Roman" w:eastAsia="SimSun" w:hAnsi="Times New Roman"/>
        </w:rPr>
      </w:pPr>
      <w:r>
        <w:rPr>
          <w:rFonts w:ascii="Times New Roman" w:eastAsia="SimSun" w:hAnsi="Times New Roman"/>
          <w:noProof/>
        </w:rPr>
        <w:drawing>
          <wp:inline distT="0" distB="0" distL="114300" distR="114300" wp14:anchorId="31D93746" wp14:editId="752A4A2C">
            <wp:extent cx="5784215" cy="4627880"/>
            <wp:effectExtent l="0" t="0" r="6985" b="20320"/>
            <wp:docPr id="6"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IMG_256"/>
                    <pic:cNvPicPr>
                      <a:picLocks noChangeAspect="1"/>
                    </pic:cNvPicPr>
                  </pic:nvPicPr>
                  <pic:blipFill>
                    <a:blip r:embed="rId9"/>
                    <a:stretch>
                      <a:fillRect/>
                    </a:stretch>
                  </pic:blipFill>
                  <pic:spPr>
                    <a:xfrm>
                      <a:off x="0" y="0"/>
                      <a:ext cx="5784215" cy="4627880"/>
                    </a:xfrm>
                    <a:prstGeom prst="rect">
                      <a:avLst/>
                    </a:prstGeom>
                    <a:noFill/>
                    <a:ln>
                      <a:noFill/>
                    </a:ln>
                  </pic:spPr>
                </pic:pic>
              </a:graphicData>
            </a:graphic>
          </wp:inline>
        </w:drawing>
      </w:r>
    </w:p>
    <w:p w14:paraId="387F142E" w14:textId="77777777" w:rsidR="00624AAA" w:rsidRDefault="00C46345">
      <w:pPr>
        <w:rPr>
          <w:rFonts w:ascii="Palatino Linotype" w:eastAsia="Times New Roman" w:hAnsi="Palatino Linotype" w:cs="Times New Roman"/>
          <w:b/>
          <w:color w:val="000000"/>
          <w:kern w:val="0"/>
          <w:sz w:val="18"/>
          <w:szCs w:val="20"/>
          <w:lang w:bidi="en-US"/>
        </w:rPr>
      </w:pPr>
      <w:r>
        <w:rPr>
          <w:rFonts w:ascii="Palatino Linotype" w:eastAsia="Times New Roman" w:hAnsi="Palatino Linotype" w:cs="Times New Roman" w:hint="eastAsia"/>
          <w:b/>
          <w:color w:val="000000"/>
          <w:kern w:val="0"/>
          <w:sz w:val="18"/>
          <w:szCs w:val="20"/>
          <w:lang w:bidi="en-US"/>
        </w:rPr>
        <w:t>Figure</w:t>
      </w:r>
      <w:r>
        <w:rPr>
          <w:rFonts w:ascii="Palatino Linotype" w:eastAsia="Times New Roman" w:hAnsi="Palatino Linotype" w:cs="Times New Roman"/>
          <w:b/>
          <w:color w:val="000000"/>
          <w:kern w:val="0"/>
          <w:sz w:val="18"/>
          <w:szCs w:val="20"/>
          <w:lang w:bidi="en-US"/>
        </w:rPr>
        <w:t xml:space="preserve"> </w:t>
      </w:r>
      <w:r>
        <w:rPr>
          <w:rFonts w:ascii="Palatino Linotype" w:eastAsia="Times New Roman" w:hAnsi="Palatino Linotype" w:cs="Times New Roman" w:hint="eastAsia"/>
          <w:b/>
          <w:color w:val="000000"/>
          <w:kern w:val="0"/>
          <w:sz w:val="18"/>
          <w:szCs w:val="20"/>
          <w:lang w:bidi="en-US"/>
        </w:rPr>
        <w:t>4</w:t>
      </w:r>
      <w:r>
        <w:rPr>
          <w:rFonts w:ascii="Palatino Linotype" w:eastAsia="Times New Roman" w:hAnsi="Palatino Linotype" w:cs="Times New Roman"/>
          <w:b/>
          <w:color w:val="000000"/>
          <w:kern w:val="0"/>
          <w:sz w:val="18"/>
          <w:szCs w:val="20"/>
          <w:lang w:bidi="en-US"/>
        </w:rPr>
        <w:t xml:space="preserve">. </w:t>
      </w:r>
      <w:r>
        <w:rPr>
          <w:rFonts w:ascii="Palatino Linotype" w:eastAsia="Times New Roman" w:hAnsi="Palatino Linotype" w:cs="Times New Roman"/>
          <w:bCs/>
          <w:color w:val="000000"/>
          <w:kern w:val="0"/>
          <w:sz w:val="18"/>
          <w:szCs w:val="20"/>
          <w:lang w:bidi="en-US"/>
        </w:rPr>
        <w:t>Total feature importance</w:t>
      </w:r>
    </w:p>
    <w:p w14:paraId="7E35F0CA" w14:textId="77777777" w:rsidR="00624AAA" w:rsidRDefault="00C46345">
      <w:pPr>
        <w:pStyle w:val="MDPI23heading3"/>
        <w:ind w:left="0"/>
        <w:rPr>
          <w:lang w:eastAsia="zh-CN"/>
        </w:rPr>
      </w:pPr>
      <w:r>
        <w:rPr>
          <w:rFonts w:hint="eastAsia"/>
          <w:lang w:eastAsia="zh-CN"/>
        </w:rPr>
        <w:t>5.3.3 Predictive Patterns of Key Feature Variables</w:t>
      </w:r>
    </w:p>
    <w:p w14:paraId="76636B8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1.</w:t>
      </w:r>
      <w:r>
        <w:rPr>
          <w:rFonts w:ascii="Palatino Linotype" w:eastAsia="Times New Roman" w:hAnsi="Palatino Linotype" w:cs="Times New Roman"/>
          <w:snapToGrid w:val="0"/>
          <w:color w:val="000000"/>
          <w:kern w:val="0"/>
          <w:sz w:val="20"/>
          <w:szCs w:val="21"/>
          <w:lang w:bidi="en-US"/>
        </w:rPr>
        <w:t>GROE</w:t>
      </w:r>
    </w:p>
    <w:p w14:paraId="5F219E9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Our results with Partial </w:t>
      </w:r>
      <w:r>
        <w:rPr>
          <w:rFonts w:ascii="Palatino Linotype" w:eastAsia="Times New Roman" w:hAnsi="Palatino Linotype" w:cs="Times New Roman"/>
          <w:snapToGrid w:val="0"/>
          <w:color w:val="000000"/>
          <w:kern w:val="0"/>
          <w:sz w:val="20"/>
          <w:szCs w:val="21"/>
          <w:lang w:bidi="en-US"/>
        </w:rPr>
        <w:t xml:space="preserve">Dependence Plots (PDPs) show that higher GROE values are positively correlated with higher SGR and lower levels of </w:t>
      </w:r>
      <w:proofErr w:type="spellStart"/>
      <w:r>
        <w:rPr>
          <w:rFonts w:ascii="Palatino Linotype" w:eastAsia="Times New Roman" w:hAnsi="Palatino Linotype" w:cs="Times New Roman"/>
          <w:snapToGrid w:val="0"/>
          <w:color w:val="000000"/>
          <w:kern w:val="0"/>
          <w:sz w:val="20"/>
          <w:szCs w:val="21"/>
          <w:lang w:bidi="en-US"/>
        </w:rPr>
        <w:t>PV</w:t>
      </w:r>
      <w:r>
        <w:rPr>
          <w:rFonts w:ascii="Palatino Linotype" w:eastAsia="Times New Roman" w:hAnsi="Palatino Linotype" w:cs="Times New Roman" w:hint="eastAsia"/>
          <w:snapToGrid w:val="0"/>
          <w:color w:val="000000"/>
          <w:kern w:val="0"/>
          <w:sz w:val="20"/>
          <w:szCs w:val="21"/>
          <w:lang w:bidi="en-US"/>
        </w:rPr>
        <w:t>，</w:t>
      </w:r>
      <w:r>
        <w:rPr>
          <w:rFonts w:ascii="Palatino Linotype" w:eastAsia="Times New Roman" w:hAnsi="Palatino Linotype" w:cs="Times New Roman"/>
          <w:snapToGrid w:val="0"/>
          <w:color w:val="000000"/>
          <w:kern w:val="0"/>
          <w:sz w:val="20"/>
          <w:szCs w:val="21"/>
          <w:lang w:bidi="en-US"/>
        </w:rPr>
        <w:t>just</w:t>
      </w:r>
      <w:proofErr w:type="spellEnd"/>
      <w:r>
        <w:rPr>
          <w:rFonts w:ascii="Palatino Linotype" w:eastAsia="Times New Roman" w:hAnsi="Palatino Linotype" w:cs="Times New Roman"/>
          <w:snapToGrid w:val="0"/>
          <w:color w:val="000000"/>
          <w:kern w:val="0"/>
          <w:sz w:val="20"/>
          <w:szCs w:val="21"/>
          <w:lang w:bidi="en-US"/>
        </w:rPr>
        <w:t xml:space="preserve"> as the literature </w:t>
      </w:r>
      <w:proofErr w:type="gramStart"/>
      <w:r>
        <w:rPr>
          <w:rFonts w:ascii="Palatino Linotype" w:eastAsia="Times New Roman" w:hAnsi="Palatino Linotype" w:cs="Times New Roman"/>
          <w:snapToGrid w:val="0"/>
          <w:color w:val="000000"/>
          <w:kern w:val="0"/>
          <w:sz w:val="20"/>
          <w:szCs w:val="21"/>
          <w:lang w:bidi="en-US"/>
        </w:rPr>
        <w:t>suggests[</w:t>
      </w:r>
      <w:proofErr w:type="gramEnd"/>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_Ref710183324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30</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xml:space="preserve">]. It is </w:t>
      </w:r>
      <w:r>
        <w:rPr>
          <w:rFonts w:ascii="Palatino Linotype" w:eastAsia="Times New Roman" w:hAnsi="Palatino Linotype" w:cs="Times New Roman"/>
          <w:snapToGrid w:val="0"/>
          <w:color w:val="000000"/>
          <w:kern w:val="0"/>
          <w:sz w:val="20"/>
          <w:szCs w:val="21"/>
          <w:lang w:bidi="en-US"/>
        </w:rPr>
        <w:t>the combination of these relationships that leads firms to use a high GROE to strengthen their financial position, which allows them to use future corporate profits to fund their long-term sustainable growth without lenders' funding and enables them to bet</w:t>
      </w:r>
      <w:r>
        <w:rPr>
          <w:rFonts w:ascii="Palatino Linotype" w:eastAsia="Times New Roman" w:hAnsi="Palatino Linotype" w:cs="Times New Roman"/>
          <w:snapToGrid w:val="0"/>
          <w:color w:val="000000"/>
          <w:kern w:val="0"/>
          <w:sz w:val="20"/>
          <w:szCs w:val="21"/>
          <w:lang w:bidi="en-US"/>
        </w:rPr>
        <w:t xml:space="preserve">ter absorb shocks from market changes that potentially lower profits. Therefore, with this </w:t>
      </w:r>
      <w:r>
        <w:rPr>
          <w:rFonts w:ascii="Palatino Linotype" w:eastAsia="Times New Roman" w:hAnsi="Palatino Linotype" w:cs="Times New Roman"/>
          <w:snapToGrid w:val="0"/>
          <w:color w:val="000000"/>
          <w:kern w:val="0"/>
          <w:sz w:val="20"/>
          <w:szCs w:val="21"/>
          <w:lang w:bidi="en-US"/>
        </w:rPr>
        <w:lastRenderedPageBreak/>
        <w:t>responsible approach to corporate profit allocation, this improves the predictability and sustainability of that individual firm and its industry.</w:t>
      </w:r>
    </w:p>
    <w:p w14:paraId="27CD103F"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p w14:paraId="00F50620" w14:textId="77777777" w:rsidR="00624AAA" w:rsidRDefault="00C46345">
      <w:pPr>
        <w:rPr>
          <w:rFonts w:ascii="Times New Roman" w:eastAsia="SimSun" w:hAnsi="Times New Roman" w:cs="Times New Roman"/>
        </w:rPr>
      </w:pPr>
      <w:r>
        <w:rPr>
          <w:rFonts w:ascii="Times New Roman" w:eastAsia="SimSun" w:hAnsi="Times New Roman" w:cs="Times New Roman"/>
          <w:noProof/>
        </w:rPr>
        <w:drawing>
          <wp:inline distT="0" distB="0" distL="114300" distR="114300" wp14:anchorId="726C80B4" wp14:editId="47926A02">
            <wp:extent cx="5457825" cy="3639185"/>
            <wp:effectExtent l="0" t="0" r="3175" b="18415"/>
            <wp:docPr id="7"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descr="IMG_256"/>
                    <pic:cNvPicPr>
                      <a:picLocks noChangeAspect="1"/>
                    </pic:cNvPicPr>
                  </pic:nvPicPr>
                  <pic:blipFill>
                    <a:blip r:embed="rId10"/>
                    <a:stretch>
                      <a:fillRect/>
                    </a:stretch>
                  </pic:blipFill>
                  <pic:spPr>
                    <a:xfrm>
                      <a:off x="0" y="0"/>
                      <a:ext cx="5457825" cy="3639185"/>
                    </a:xfrm>
                    <a:prstGeom prst="rect">
                      <a:avLst/>
                    </a:prstGeom>
                    <a:noFill/>
                    <a:ln>
                      <a:noFill/>
                    </a:ln>
                  </pic:spPr>
                </pic:pic>
              </a:graphicData>
            </a:graphic>
          </wp:inline>
        </w:drawing>
      </w:r>
    </w:p>
    <w:p w14:paraId="52F8A6CE" w14:textId="77777777" w:rsidR="00624AAA" w:rsidRDefault="00C46345">
      <w:pPr>
        <w:spacing w:line="360" w:lineRule="auto"/>
        <w:rPr>
          <w:rFonts w:ascii="Palatino Linotype" w:eastAsia="Times New Roman" w:hAnsi="Palatino Linotype" w:cs="Times New Roman"/>
          <w:b/>
          <w:color w:val="000000"/>
          <w:kern w:val="0"/>
          <w:sz w:val="18"/>
          <w:szCs w:val="20"/>
          <w:lang w:bidi="en-US"/>
        </w:rPr>
      </w:pPr>
      <w:r>
        <w:rPr>
          <w:rFonts w:ascii="Palatino Linotype" w:eastAsia="Times New Roman" w:hAnsi="Palatino Linotype" w:cs="Times New Roman"/>
          <w:b/>
          <w:color w:val="000000"/>
          <w:kern w:val="0"/>
          <w:sz w:val="18"/>
          <w:szCs w:val="20"/>
          <w:lang w:bidi="en-US"/>
        </w:rPr>
        <w:t xml:space="preserve">Figure 5. </w:t>
      </w:r>
      <w:r>
        <w:rPr>
          <w:rFonts w:ascii="Palatino Linotype" w:eastAsia="Times New Roman" w:hAnsi="Palatino Linotype" w:cs="Times New Roman"/>
          <w:bCs/>
          <w:color w:val="000000"/>
          <w:kern w:val="0"/>
          <w:sz w:val="18"/>
          <w:szCs w:val="20"/>
          <w:lang w:bidi="en-US"/>
        </w:rPr>
        <w:t>Parti</w:t>
      </w:r>
      <w:r>
        <w:rPr>
          <w:rFonts w:ascii="Palatino Linotype" w:eastAsia="Times New Roman" w:hAnsi="Palatino Linotype" w:cs="Times New Roman"/>
          <w:bCs/>
          <w:color w:val="000000"/>
          <w:kern w:val="0"/>
          <w:sz w:val="18"/>
          <w:szCs w:val="20"/>
          <w:lang w:bidi="en-US"/>
        </w:rPr>
        <w:t>al Dependence Plots for GROE</w:t>
      </w:r>
    </w:p>
    <w:p w14:paraId="28241AFC" w14:textId="77777777" w:rsidR="00624AAA" w:rsidRDefault="00624AAA">
      <w:pPr>
        <w:spacing w:line="360" w:lineRule="auto"/>
        <w:rPr>
          <w:rFonts w:ascii="Times New Roman Regular" w:hAnsi="Times New Roman Regular" w:cs="Times New Roman Regular"/>
          <w:color w:val="000000" w:themeColor="text1"/>
          <w:sz w:val="24"/>
        </w:rPr>
      </w:pPr>
    </w:p>
    <w:p w14:paraId="0C2BF4F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2.</w:t>
      </w:r>
      <w:r>
        <w:rPr>
          <w:rFonts w:ascii="Palatino Linotype" w:eastAsia="Times New Roman" w:hAnsi="Palatino Linotype" w:cs="Times New Roman"/>
          <w:snapToGrid w:val="0"/>
          <w:color w:val="000000"/>
          <w:kern w:val="0"/>
          <w:sz w:val="20"/>
          <w:szCs w:val="21"/>
          <w:lang w:bidi="en-US"/>
        </w:rPr>
        <w:t>GPF</w:t>
      </w:r>
    </w:p>
    <w:p w14:paraId="0D60684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As evidenced in Figure </w:t>
      </w:r>
      <w:r>
        <w:rPr>
          <w:rFonts w:ascii="Palatino Linotype" w:eastAsia="Times New Roman" w:hAnsi="Palatino Linotype" w:cs="Times New Roman" w:hint="eastAsia"/>
          <w:snapToGrid w:val="0"/>
          <w:color w:val="000000"/>
          <w:kern w:val="0"/>
          <w:sz w:val="20"/>
          <w:szCs w:val="21"/>
          <w:lang w:bidi="en-US"/>
        </w:rPr>
        <w:t>6</w:t>
      </w:r>
      <w:r>
        <w:rPr>
          <w:rFonts w:ascii="Palatino Linotype" w:eastAsia="Times New Roman" w:hAnsi="Palatino Linotype" w:cs="Times New Roman"/>
          <w:snapToGrid w:val="0"/>
          <w:color w:val="000000"/>
          <w:kern w:val="0"/>
          <w:sz w:val="20"/>
          <w:szCs w:val="21"/>
          <w:lang w:bidi="en-US"/>
        </w:rPr>
        <w:t xml:space="preserve">, GPF rapidly grows with SGR but decreases with PV. Both relationships are consistent with theory; profit growth is positive internal capital for reinvestment and growth, which leads to </w:t>
      </w:r>
      <w:r>
        <w:rPr>
          <w:rFonts w:ascii="Palatino Linotype" w:eastAsia="Times New Roman" w:hAnsi="Palatino Linotype" w:cs="Times New Roman"/>
          <w:snapToGrid w:val="0"/>
          <w:color w:val="000000"/>
          <w:kern w:val="0"/>
          <w:sz w:val="20"/>
          <w:szCs w:val="21"/>
          <w:lang w:bidi="en-US"/>
        </w:rPr>
        <w:t xml:space="preserve">sustainable growth opportunities. Also, since profits are a buffer to the firm's finance, higher profits can improve firm resilience to </w:t>
      </w:r>
      <w:proofErr w:type="gramStart"/>
      <w:r>
        <w:rPr>
          <w:rFonts w:ascii="Palatino Linotype" w:eastAsia="Times New Roman" w:hAnsi="Palatino Linotype" w:cs="Times New Roman"/>
          <w:snapToGrid w:val="0"/>
          <w:color w:val="000000"/>
          <w:kern w:val="0"/>
          <w:sz w:val="20"/>
          <w:szCs w:val="21"/>
          <w:lang w:bidi="en-US"/>
        </w:rPr>
        <w:t>shock  the</w:t>
      </w:r>
      <w:proofErr w:type="gramEnd"/>
      <w:r>
        <w:rPr>
          <w:rFonts w:ascii="Palatino Linotype" w:eastAsia="Times New Roman" w:hAnsi="Palatino Linotype" w:cs="Times New Roman"/>
          <w:snapToGrid w:val="0"/>
          <w:color w:val="000000"/>
          <w:kern w:val="0"/>
          <w:sz w:val="20"/>
          <w:szCs w:val="21"/>
          <w:lang w:bidi="en-US"/>
        </w:rPr>
        <w:t xml:space="preserve"> market; lower earnings variability leads to more sustainable operations that promote the sustainability of th</w:t>
      </w:r>
      <w:r>
        <w:rPr>
          <w:rFonts w:ascii="Palatino Linotype" w:eastAsia="Times New Roman" w:hAnsi="Palatino Linotype" w:cs="Times New Roman"/>
          <w:snapToGrid w:val="0"/>
          <w:color w:val="000000"/>
          <w:kern w:val="0"/>
          <w:sz w:val="20"/>
          <w:szCs w:val="21"/>
          <w:lang w:bidi="en-US"/>
        </w:rPr>
        <w:t>e firm.</w:t>
      </w:r>
    </w:p>
    <w:p w14:paraId="468DB533" w14:textId="77777777" w:rsidR="00624AAA" w:rsidRDefault="00C46345">
      <w:pPr>
        <w:rPr>
          <w:rFonts w:ascii="Times New Roman" w:eastAsia="SimSun" w:hAnsi="Times New Roman" w:cs="Times New Roman"/>
        </w:rPr>
      </w:pPr>
      <w:r>
        <w:rPr>
          <w:rFonts w:ascii="Times New Roman" w:eastAsia="SimSun" w:hAnsi="Times New Roman" w:cs="Times New Roman"/>
          <w:noProof/>
        </w:rPr>
        <w:lastRenderedPageBreak/>
        <w:drawing>
          <wp:inline distT="0" distB="0" distL="114300" distR="114300" wp14:anchorId="56F9A8DD" wp14:editId="42D013D5">
            <wp:extent cx="5621020" cy="3747770"/>
            <wp:effectExtent l="0" t="0" r="17780" b="11430"/>
            <wp:docPr id="9"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 descr="IMG_256"/>
                    <pic:cNvPicPr>
                      <a:picLocks noChangeAspect="1"/>
                    </pic:cNvPicPr>
                  </pic:nvPicPr>
                  <pic:blipFill>
                    <a:blip r:embed="rId11"/>
                    <a:stretch>
                      <a:fillRect/>
                    </a:stretch>
                  </pic:blipFill>
                  <pic:spPr>
                    <a:xfrm>
                      <a:off x="0" y="0"/>
                      <a:ext cx="5621020" cy="3747770"/>
                    </a:xfrm>
                    <a:prstGeom prst="rect">
                      <a:avLst/>
                    </a:prstGeom>
                    <a:noFill/>
                    <a:ln>
                      <a:noFill/>
                    </a:ln>
                  </pic:spPr>
                </pic:pic>
              </a:graphicData>
            </a:graphic>
          </wp:inline>
        </w:drawing>
      </w:r>
    </w:p>
    <w:p w14:paraId="456D48F5" w14:textId="77777777" w:rsidR="00624AAA" w:rsidRDefault="00C46345">
      <w:pPr>
        <w:spacing w:line="360" w:lineRule="auto"/>
        <w:rPr>
          <w:rFonts w:ascii="Palatino Linotype" w:eastAsia="Times New Roman" w:hAnsi="Palatino Linotype" w:cs="Times New Roman"/>
          <w:b/>
          <w:color w:val="000000"/>
          <w:kern w:val="0"/>
          <w:sz w:val="18"/>
          <w:szCs w:val="20"/>
          <w:lang w:bidi="en-US"/>
        </w:rPr>
      </w:pPr>
      <w:r>
        <w:rPr>
          <w:rFonts w:ascii="Palatino Linotype" w:eastAsia="Times New Roman" w:hAnsi="Palatino Linotype" w:cs="Times New Roman"/>
          <w:b/>
          <w:color w:val="000000"/>
          <w:kern w:val="0"/>
          <w:sz w:val="18"/>
          <w:szCs w:val="20"/>
          <w:lang w:bidi="en-US"/>
        </w:rPr>
        <w:t xml:space="preserve">Figure 6. </w:t>
      </w:r>
      <w:r>
        <w:rPr>
          <w:rFonts w:ascii="Palatino Linotype" w:eastAsia="Times New Roman" w:hAnsi="Palatino Linotype" w:cs="Times New Roman"/>
          <w:bCs/>
          <w:color w:val="000000"/>
          <w:kern w:val="0"/>
          <w:sz w:val="18"/>
          <w:szCs w:val="20"/>
          <w:lang w:bidi="en-US"/>
        </w:rPr>
        <w:t>Partial Dependence Plots for GPF</w:t>
      </w:r>
    </w:p>
    <w:p w14:paraId="0C94BA45" w14:textId="77777777" w:rsidR="00624AAA" w:rsidRDefault="00624AAA">
      <w:pPr>
        <w:spacing w:line="360" w:lineRule="auto"/>
        <w:jc w:val="center"/>
        <w:rPr>
          <w:rFonts w:ascii="Times New Roman Regular" w:hAnsi="Times New Roman Regular" w:cs="Times New Roman Regular"/>
          <w:color w:val="000000" w:themeColor="text1"/>
          <w:sz w:val="24"/>
        </w:rPr>
      </w:pPr>
    </w:p>
    <w:p w14:paraId="40BAA5A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3.</w:t>
      </w:r>
      <w:r>
        <w:rPr>
          <w:rFonts w:ascii="Palatino Linotype" w:eastAsia="Times New Roman" w:hAnsi="Palatino Linotype" w:cs="Times New Roman"/>
          <w:snapToGrid w:val="0"/>
          <w:color w:val="000000"/>
          <w:kern w:val="0"/>
          <w:sz w:val="20"/>
          <w:szCs w:val="21"/>
          <w:lang w:bidi="en-US"/>
        </w:rPr>
        <w:t>greeninvest</w:t>
      </w:r>
    </w:p>
    <w:p w14:paraId="5373026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Green Investment and the Interrelationship to Corporate Sustainability is complex and nonlinear. Increased green expenditures will temporarily decrease SGR and increase PV due to </w:t>
      </w:r>
      <w:r>
        <w:rPr>
          <w:rFonts w:ascii="Palatino Linotype" w:eastAsia="Times New Roman" w:hAnsi="Palatino Linotype" w:cs="Times New Roman"/>
          <w:snapToGrid w:val="0"/>
          <w:color w:val="000000"/>
          <w:kern w:val="0"/>
          <w:sz w:val="20"/>
          <w:szCs w:val="21"/>
          <w:lang w:bidi="en-US"/>
        </w:rPr>
        <w:t>having short-term financial pressure. Our model to define this complex relationship indicated that the optimal ratio of green investment to total investment is approximately 0.20, to maximize SGR while minimizing PV. This highlights the challenges of calib</w:t>
      </w:r>
      <w:r>
        <w:rPr>
          <w:rFonts w:ascii="Palatino Linotype" w:eastAsia="Times New Roman" w:hAnsi="Palatino Linotype" w:cs="Times New Roman"/>
          <w:snapToGrid w:val="0"/>
          <w:color w:val="000000"/>
          <w:kern w:val="0"/>
          <w:sz w:val="20"/>
          <w:szCs w:val="21"/>
          <w:lang w:bidi="en-US"/>
        </w:rPr>
        <w:t>rating corporate investments based on evidence-based competence to avoid the pitfalls of corporate over-investment.</w:t>
      </w:r>
    </w:p>
    <w:p w14:paraId="7E2F8BAB" w14:textId="77777777" w:rsidR="00624AAA" w:rsidRDefault="00C46345">
      <w:pPr>
        <w:rPr>
          <w:rFonts w:ascii="Times New Roman" w:eastAsia="SimSun" w:hAnsi="Times New Roman" w:cs="Times New Roman"/>
        </w:rPr>
      </w:pPr>
      <w:r>
        <w:rPr>
          <w:rFonts w:ascii="Times New Roman" w:eastAsia="SimSun" w:hAnsi="Times New Roman" w:cs="Times New Roman"/>
          <w:noProof/>
        </w:rPr>
        <w:lastRenderedPageBreak/>
        <w:drawing>
          <wp:inline distT="0" distB="0" distL="114300" distR="114300" wp14:anchorId="43959B49" wp14:editId="5D730F3E">
            <wp:extent cx="5538470" cy="3692525"/>
            <wp:effectExtent l="0" t="0" r="24130" b="15875"/>
            <wp:docPr id="10"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descr="IMG_256"/>
                    <pic:cNvPicPr>
                      <a:picLocks noChangeAspect="1"/>
                    </pic:cNvPicPr>
                  </pic:nvPicPr>
                  <pic:blipFill>
                    <a:blip r:embed="rId12"/>
                    <a:stretch>
                      <a:fillRect/>
                    </a:stretch>
                  </pic:blipFill>
                  <pic:spPr>
                    <a:xfrm>
                      <a:off x="0" y="0"/>
                      <a:ext cx="5538470" cy="3692525"/>
                    </a:xfrm>
                    <a:prstGeom prst="rect">
                      <a:avLst/>
                    </a:prstGeom>
                    <a:noFill/>
                    <a:ln>
                      <a:noFill/>
                    </a:ln>
                  </pic:spPr>
                </pic:pic>
              </a:graphicData>
            </a:graphic>
          </wp:inline>
        </w:drawing>
      </w:r>
    </w:p>
    <w:p w14:paraId="010E1B0F" w14:textId="77777777" w:rsidR="00624AAA" w:rsidRDefault="00C46345">
      <w:pPr>
        <w:spacing w:line="360" w:lineRule="auto"/>
        <w:rPr>
          <w:rFonts w:ascii="Times New Roman Regular" w:hAnsi="Times New Roman Regular" w:cs="Times New Roman Regular"/>
          <w:color w:val="000000" w:themeColor="text1"/>
          <w:sz w:val="24"/>
        </w:rPr>
      </w:pPr>
      <w:r>
        <w:rPr>
          <w:rFonts w:ascii="Palatino Linotype" w:eastAsia="Times New Roman" w:hAnsi="Palatino Linotype" w:cs="Times New Roman"/>
          <w:b/>
          <w:color w:val="000000"/>
          <w:kern w:val="0"/>
          <w:sz w:val="18"/>
          <w:szCs w:val="20"/>
          <w:lang w:bidi="en-US"/>
        </w:rPr>
        <w:t xml:space="preserve">Figure </w:t>
      </w:r>
      <w:r>
        <w:rPr>
          <w:rFonts w:ascii="Palatino Linotype" w:eastAsia="Times New Roman" w:hAnsi="Palatino Linotype" w:cs="Times New Roman" w:hint="eastAsia"/>
          <w:b/>
          <w:color w:val="000000"/>
          <w:kern w:val="0"/>
          <w:sz w:val="18"/>
          <w:szCs w:val="20"/>
          <w:lang w:bidi="en-US"/>
        </w:rPr>
        <w:t>7</w:t>
      </w:r>
      <w:r>
        <w:rPr>
          <w:rFonts w:ascii="Palatino Linotype" w:eastAsia="Times New Roman" w:hAnsi="Palatino Linotype" w:cs="Times New Roman"/>
          <w:b/>
          <w:color w:val="000000"/>
          <w:kern w:val="0"/>
          <w:sz w:val="18"/>
          <w:szCs w:val="20"/>
          <w:lang w:bidi="en-US"/>
        </w:rPr>
        <w:t xml:space="preserve">. </w:t>
      </w:r>
      <w:r>
        <w:rPr>
          <w:rFonts w:ascii="Palatino Linotype" w:eastAsia="Times New Roman" w:hAnsi="Palatino Linotype" w:cs="Times New Roman"/>
          <w:bCs/>
          <w:color w:val="000000"/>
          <w:kern w:val="0"/>
          <w:sz w:val="18"/>
          <w:szCs w:val="20"/>
          <w:lang w:bidi="en-US"/>
        </w:rPr>
        <w:t xml:space="preserve">Partial Dependence Plots for </w:t>
      </w:r>
      <w:proofErr w:type="spellStart"/>
      <w:r>
        <w:rPr>
          <w:rFonts w:ascii="Palatino Linotype" w:eastAsia="Times New Roman" w:hAnsi="Palatino Linotype" w:cs="Times New Roman"/>
          <w:bCs/>
          <w:color w:val="000000"/>
          <w:kern w:val="0"/>
          <w:sz w:val="18"/>
          <w:szCs w:val="20"/>
          <w:lang w:bidi="en-US"/>
        </w:rPr>
        <w:t>greeninvest</w:t>
      </w:r>
      <w:proofErr w:type="spellEnd"/>
    </w:p>
    <w:p w14:paraId="1530AC5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4.</w:t>
      </w:r>
      <w:r>
        <w:rPr>
          <w:rFonts w:ascii="Palatino Linotype" w:eastAsia="Times New Roman" w:hAnsi="Palatino Linotype" w:cs="Times New Roman"/>
          <w:snapToGrid w:val="0"/>
          <w:color w:val="000000"/>
          <w:kern w:val="0"/>
          <w:sz w:val="20"/>
          <w:szCs w:val="21"/>
          <w:lang w:bidi="en-US"/>
        </w:rPr>
        <w:t>greentran</w:t>
      </w:r>
    </w:p>
    <w:p w14:paraId="0750980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Upon analysis of the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w:t>
      </w:r>
      <w:r>
        <w:rPr>
          <w:rFonts w:ascii="Palatino Linotype" w:eastAsia="Times New Roman" w:hAnsi="Palatino Linotype" w:cs="Times New Roman" w:hint="eastAsia"/>
          <w:snapToGrid w:val="0"/>
          <w:color w:val="000000"/>
          <w:kern w:val="0"/>
          <w:sz w:val="20"/>
          <w:szCs w:val="21"/>
          <w:lang w:bidi="en-US"/>
        </w:rPr>
        <w:t>t</w:t>
      </w:r>
      <w:r>
        <w:rPr>
          <w:rFonts w:ascii="Palatino Linotype" w:eastAsia="Times New Roman" w:hAnsi="Palatino Linotype" w:cs="Times New Roman"/>
          <w:snapToGrid w:val="0"/>
          <w:color w:val="000000"/>
          <w:kern w:val="0"/>
          <w:sz w:val="20"/>
          <w:szCs w:val="21"/>
          <w:lang w:bidi="en-US"/>
        </w:rPr>
        <w:t>ran</w:t>
      </w:r>
      <w:proofErr w:type="spellEnd"/>
      <w:r>
        <w:rPr>
          <w:rFonts w:ascii="Palatino Linotype" w:eastAsia="Times New Roman" w:hAnsi="Palatino Linotype" w:cs="Times New Roman"/>
          <w:snapToGrid w:val="0"/>
          <w:color w:val="000000"/>
          <w:kern w:val="0"/>
          <w:sz w:val="20"/>
          <w:szCs w:val="21"/>
          <w:lang w:bidi="en-US"/>
        </w:rPr>
        <w:t xml:space="preserve"> model, one can suggest the existence of a U-shaped relationship with SGR, in that it represents a recent decline in performance before progress is visible. While SGR declines, there is an overall upward trend in PV. An important inflection point is rec</w:t>
      </w:r>
      <w:r>
        <w:rPr>
          <w:rFonts w:ascii="Palatino Linotype" w:eastAsia="Times New Roman" w:hAnsi="Palatino Linotype" w:cs="Times New Roman"/>
          <w:snapToGrid w:val="0"/>
          <w:color w:val="000000"/>
          <w:kern w:val="0"/>
          <w:sz w:val="20"/>
          <w:szCs w:val="21"/>
          <w:lang w:bidi="en-US"/>
        </w:rPr>
        <w:t xml:space="preserve">ognized for sustainable development at the </w:t>
      </w:r>
      <w:proofErr w:type="spellStart"/>
      <w:r>
        <w:rPr>
          <w:rFonts w:ascii="Palatino Linotype" w:eastAsia="Times New Roman" w:hAnsi="Palatino Linotype" w:cs="Times New Roman" w:hint="eastAsia"/>
          <w:snapToGrid w:val="0"/>
          <w:color w:val="000000"/>
          <w:kern w:val="0"/>
          <w:sz w:val="20"/>
          <w:szCs w:val="21"/>
          <w:lang w:bidi="en-US"/>
        </w:rPr>
        <w:t>g</w:t>
      </w:r>
      <w:r>
        <w:rPr>
          <w:rFonts w:ascii="Palatino Linotype" w:eastAsia="Times New Roman" w:hAnsi="Palatino Linotype" w:cs="Times New Roman"/>
          <w:snapToGrid w:val="0"/>
          <w:color w:val="000000"/>
          <w:kern w:val="0"/>
          <w:sz w:val="20"/>
          <w:szCs w:val="21"/>
          <w:lang w:bidi="en-US"/>
        </w:rPr>
        <w:t>reen</w:t>
      </w:r>
      <w:r>
        <w:rPr>
          <w:rFonts w:ascii="Palatino Linotype" w:eastAsia="Times New Roman" w:hAnsi="Palatino Linotype" w:cs="Times New Roman" w:hint="eastAsia"/>
          <w:snapToGrid w:val="0"/>
          <w:color w:val="000000"/>
          <w:kern w:val="0"/>
          <w:sz w:val="20"/>
          <w:szCs w:val="21"/>
          <w:lang w:bidi="en-US"/>
        </w:rPr>
        <w:t>t</w:t>
      </w:r>
      <w:r>
        <w:rPr>
          <w:rFonts w:ascii="Palatino Linotype" w:eastAsia="Times New Roman" w:hAnsi="Palatino Linotype" w:cs="Times New Roman"/>
          <w:snapToGrid w:val="0"/>
          <w:color w:val="000000"/>
          <w:kern w:val="0"/>
          <w:sz w:val="20"/>
          <w:szCs w:val="21"/>
          <w:lang w:bidi="en-US"/>
        </w:rPr>
        <w:t>ran</w:t>
      </w:r>
      <w:proofErr w:type="spellEnd"/>
      <w:r>
        <w:rPr>
          <w:rFonts w:ascii="Palatino Linotype" w:eastAsia="Times New Roman" w:hAnsi="Palatino Linotype" w:cs="Times New Roman"/>
          <w:snapToGrid w:val="0"/>
          <w:color w:val="000000"/>
          <w:kern w:val="0"/>
          <w:sz w:val="20"/>
          <w:szCs w:val="21"/>
          <w:lang w:bidi="en-US"/>
        </w:rPr>
        <w:t xml:space="preserve"> value of 3.5, which would give a potential for performance gains. While we see an industry average set at 3.279, firms can use this data point to target performance toward a benchmark that considers both</w:t>
      </w:r>
      <w:r>
        <w:rPr>
          <w:rFonts w:ascii="Palatino Linotype" w:eastAsia="Times New Roman" w:hAnsi="Palatino Linotype" w:cs="Times New Roman"/>
          <w:snapToGrid w:val="0"/>
          <w:color w:val="000000"/>
          <w:kern w:val="0"/>
          <w:sz w:val="20"/>
          <w:szCs w:val="21"/>
          <w:lang w:bidi="en-US"/>
        </w:rPr>
        <w:t xml:space="preserve"> an increase in sustainable involvement and realizing the </w:t>
      </w:r>
      <w:proofErr w:type="gramStart"/>
      <w:r>
        <w:rPr>
          <w:rFonts w:ascii="Palatino Linotype" w:eastAsia="Times New Roman" w:hAnsi="Palatino Linotype" w:cs="Times New Roman"/>
          <w:snapToGrid w:val="0"/>
          <w:color w:val="000000"/>
          <w:kern w:val="0"/>
          <w:sz w:val="20"/>
          <w:szCs w:val="21"/>
          <w:lang w:bidi="en-US"/>
        </w:rPr>
        <w:t>often associated</w:t>
      </w:r>
      <w:proofErr w:type="gramEnd"/>
      <w:r>
        <w:rPr>
          <w:rFonts w:ascii="Palatino Linotype" w:eastAsia="Times New Roman" w:hAnsi="Palatino Linotype" w:cs="Times New Roman"/>
          <w:snapToGrid w:val="0"/>
          <w:color w:val="000000"/>
          <w:kern w:val="0"/>
          <w:sz w:val="20"/>
          <w:szCs w:val="21"/>
          <w:lang w:bidi="en-US"/>
        </w:rPr>
        <w:t xml:space="preserve"> value for referring their ecological responsibility.</w:t>
      </w:r>
    </w:p>
    <w:p w14:paraId="39E4B3F2" w14:textId="77777777" w:rsidR="00624AAA" w:rsidRDefault="00C46345">
      <w:pPr>
        <w:spacing w:line="360" w:lineRule="auto"/>
        <w:jc w:val="center"/>
        <w:rPr>
          <w:rFonts w:ascii="Times New Roman" w:eastAsia="SimSun" w:hAnsi="Times New Roman" w:cs="Times New Roman"/>
        </w:rPr>
      </w:pPr>
      <w:r>
        <w:rPr>
          <w:rFonts w:ascii="Times New Roman" w:eastAsia="SimSun" w:hAnsi="Times New Roman" w:cs="Times New Roman"/>
          <w:noProof/>
        </w:rPr>
        <w:lastRenderedPageBreak/>
        <w:drawing>
          <wp:inline distT="0" distB="0" distL="114300" distR="114300" wp14:anchorId="221CA18E" wp14:editId="3F6E8ADE">
            <wp:extent cx="5356860" cy="3571875"/>
            <wp:effectExtent l="0" t="0" r="2540" b="9525"/>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13"/>
                    <a:stretch>
                      <a:fillRect/>
                    </a:stretch>
                  </pic:blipFill>
                  <pic:spPr>
                    <a:xfrm>
                      <a:off x="0" y="0"/>
                      <a:ext cx="5356860" cy="3571875"/>
                    </a:xfrm>
                    <a:prstGeom prst="rect">
                      <a:avLst/>
                    </a:prstGeom>
                    <a:noFill/>
                    <a:ln>
                      <a:noFill/>
                    </a:ln>
                  </pic:spPr>
                </pic:pic>
              </a:graphicData>
            </a:graphic>
          </wp:inline>
        </w:drawing>
      </w:r>
    </w:p>
    <w:p w14:paraId="15D82EFC" w14:textId="77777777" w:rsidR="00624AAA" w:rsidRDefault="00C46345">
      <w:pPr>
        <w:spacing w:line="360" w:lineRule="auto"/>
        <w:rPr>
          <w:rFonts w:ascii="Palatino Linotype" w:eastAsia="Times New Roman" w:hAnsi="Palatino Linotype" w:cs="Times New Roman"/>
          <w:b/>
          <w:color w:val="000000"/>
          <w:kern w:val="0"/>
          <w:sz w:val="18"/>
          <w:szCs w:val="20"/>
          <w:lang w:bidi="en-US"/>
        </w:rPr>
      </w:pPr>
      <w:r>
        <w:rPr>
          <w:rFonts w:ascii="Palatino Linotype" w:eastAsia="Times New Roman" w:hAnsi="Palatino Linotype" w:cs="Times New Roman"/>
          <w:b/>
          <w:color w:val="000000"/>
          <w:kern w:val="0"/>
          <w:sz w:val="18"/>
          <w:szCs w:val="20"/>
          <w:lang w:bidi="en-US"/>
        </w:rPr>
        <w:t xml:space="preserve">Figure </w:t>
      </w:r>
      <w:r>
        <w:rPr>
          <w:rFonts w:ascii="Palatino Linotype" w:eastAsia="Times New Roman" w:hAnsi="Palatino Linotype" w:cs="Times New Roman" w:hint="eastAsia"/>
          <w:b/>
          <w:color w:val="000000"/>
          <w:kern w:val="0"/>
          <w:sz w:val="18"/>
          <w:szCs w:val="20"/>
          <w:lang w:bidi="en-US"/>
        </w:rPr>
        <w:t>8</w:t>
      </w:r>
      <w:r>
        <w:rPr>
          <w:rFonts w:ascii="Palatino Linotype" w:eastAsia="Times New Roman" w:hAnsi="Palatino Linotype" w:cs="Times New Roman"/>
          <w:b/>
          <w:color w:val="000000"/>
          <w:kern w:val="0"/>
          <w:sz w:val="18"/>
          <w:szCs w:val="20"/>
          <w:lang w:bidi="en-US"/>
        </w:rPr>
        <w:t xml:space="preserve">. </w:t>
      </w:r>
      <w:r>
        <w:rPr>
          <w:rFonts w:ascii="Palatino Linotype" w:eastAsia="Times New Roman" w:hAnsi="Palatino Linotype" w:cs="Times New Roman"/>
          <w:bCs/>
          <w:color w:val="000000"/>
          <w:kern w:val="0"/>
          <w:sz w:val="18"/>
          <w:szCs w:val="20"/>
          <w:lang w:bidi="en-US"/>
        </w:rPr>
        <w:t xml:space="preserve">Partial Dependence Plots for </w:t>
      </w:r>
      <w:proofErr w:type="spellStart"/>
      <w:r>
        <w:rPr>
          <w:rFonts w:ascii="Palatino Linotype" w:eastAsia="Times New Roman" w:hAnsi="Palatino Linotype" w:cs="Times New Roman"/>
          <w:bCs/>
          <w:color w:val="000000"/>
          <w:kern w:val="0"/>
          <w:sz w:val="18"/>
          <w:szCs w:val="20"/>
          <w:lang w:bidi="en-US"/>
        </w:rPr>
        <w:t>greentran</w:t>
      </w:r>
      <w:proofErr w:type="spellEnd"/>
    </w:p>
    <w:p w14:paraId="218F3019" w14:textId="77777777" w:rsidR="00624AAA" w:rsidRDefault="00624AAA">
      <w:pPr>
        <w:spacing w:line="360" w:lineRule="auto"/>
        <w:rPr>
          <w:rFonts w:ascii="Times New Roman Regular" w:hAnsi="Times New Roman Regular" w:cs="Times New Roman Regular"/>
          <w:color w:val="000000" w:themeColor="text1"/>
          <w:sz w:val="24"/>
        </w:rPr>
      </w:pPr>
    </w:p>
    <w:p w14:paraId="0D34EB8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5.</w:t>
      </w:r>
      <w:r>
        <w:rPr>
          <w:rFonts w:ascii="Palatino Linotype" w:eastAsia="Times New Roman" w:hAnsi="Palatino Linotype" w:cs="Times New Roman"/>
          <w:snapToGrid w:val="0"/>
          <w:color w:val="000000"/>
          <w:kern w:val="0"/>
          <w:sz w:val="20"/>
          <w:szCs w:val="21"/>
          <w:lang w:bidi="en-US"/>
        </w:rPr>
        <w:t>RDP</w:t>
      </w:r>
    </w:p>
    <w:p w14:paraId="423D4A1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Figure </w:t>
      </w:r>
      <w:r>
        <w:rPr>
          <w:rFonts w:ascii="Palatino Linotype" w:eastAsia="Times New Roman" w:hAnsi="Palatino Linotype" w:cs="Times New Roman" w:hint="eastAsia"/>
          <w:snapToGrid w:val="0"/>
          <w:color w:val="000000"/>
          <w:kern w:val="0"/>
          <w:sz w:val="20"/>
          <w:szCs w:val="21"/>
          <w:lang w:bidi="en-US"/>
        </w:rPr>
        <w:t>9</w:t>
      </w:r>
      <w:r>
        <w:rPr>
          <w:rFonts w:ascii="Palatino Linotype" w:eastAsia="Times New Roman" w:hAnsi="Palatino Linotype" w:cs="Times New Roman"/>
          <w:snapToGrid w:val="0"/>
          <w:color w:val="000000"/>
          <w:kern w:val="0"/>
          <w:sz w:val="20"/>
          <w:szCs w:val="21"/>
          <w:lang w:bidi="en-US"/>
        </w:rPr>
        <w:t xml:space="preserve"> displays the predictive model for</w:t>
      </w:r>
      <w:r>
        <w:rPr>
          <w:rFonts w:ascii="Palatino Linotype" w:eastAsia="Times New Roman" w:hAnsi="Palatino Linotype" w:cs="Times New Roman" w:hint="eastAsia"/>
          <w:snapToGrid w:val="0"/>
          <w:color w:val="000000"/>
          <w:kern w:val="0"/>
          <w:sz w:val="20"/>
          <w:szCs w:val="21"/>
          <w:lang w:bidi="en-US"/>
        </w:rPr>
        <w:t xml:space="preserve"> </w:t>
      </w:r>
      <w:r>
        <w:rPr>
          <w:rFonts w:ascii="Palatino Linotype" w:eastAsia="Times New Roman" w:hAnsi="Palatino Linotype" w:cs="Times New Roman"/>
          <w:snapToGrid w:val="0"/>
          <w:color w:val="000000"/>
          <w:kern w:val="0"/>
          <w:sz w:val="20"/>
          <w:szCs w:val="21"/>
          <w:lang w:bidi="en-US"/>
        </w:rPr>
        <w:t>RDP. The relationship with SGR was U-shaped, the relationship with PV has a clear positive trend. The analysis identifies an optimal RDP range of 0.125 to 0.200 to optimize for sustainable development, a much clearer benc</w:t>
      </w:r>
      <w:r>
        <w:rPr>
          <w:rFonts w:ascii="Palatino Linotype" w:eastAsia="Times New Roman" w:hAnsi="Palatino Linotype" w:cs="Times New Roman"/>
          <w:snapToGrid w:val="0"/>
          <w:color w:val="000000"/>
          <w:kern w:val="0"/>
          <w:sz w:val="20"/>
          <w:szCs w:val="21"/>
          <w:lang w:bidi="en-US"/>
        </w:rPr>
        <w:t>hmark than previous research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_Ref710637113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31</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The low industry mean RDP of 0.047 shows the need for firms to seriously ramp up their R&amp;D commitment to attain that optimal perf</w:t>
      </w:r>
      <w:r>
        <w:rPr>
          <w:rFonts w:ascii="Palatino Linotype" w:eastAsia="Times New Roman" w:hAnsi="Palatino Linotype" w:cs="Times New Roman"/>
          <w:snapToGrid w:val="0"/>
          <w:color w:val="000000"/>
          <w:kern w:val="0"/>
          <w:sz w:val="20"/>
          <w:szCs w:val="21"/>
          <w:lang w:bidi="en-US"/>
        </w:rPr>
        <w:t>ormance level, and also to improve their sustainability.</w:t>
      </w:r>
    </w:p>
    <w:p w14:paraId="4450A508" w14:textId="77777777" w:rsidR="00624AAA" w:rsidRDefault="00C46345">
      <w:pPr>
        <w:rPr>
          <w:rFonts w:ascii="Times New Roman" w:eastAsia="SimSun" w:hAnsi="Times New Roman" w:cs="Times New Roman"/>
        </w:rPr>
      </w:pPr>
      <w:r>
        <w:rPr>
          <w:rFonts w:ascii="Times New Roman" w:eastAsia="SimSun" w:hAnsi="Times New Roman" w:cs="Times New Roman"/>
          <w:noProof/>
        </w:rPr>
        <w:lastRenderedPageBreak/>
        <w:drawing>
          <wp:inline distT="0" distB="0" distL="114300" distR="114300" wp14:anchorId="0ED24F07" wp14:editId="352E73FE">
            <wp:extent cx="5276850" cy="3518535"/>
            <wp:effectExtent l="0" t="0" r="6350" b="1206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14"/>
                    <a:stretch>
                      <a:fillRect/>
                    </a:stretch>
                  </pic:blipFill>
                  <pic:spPr>
                    <a:xfrm>
                      <a:off x="0" y="0"/>
                      <a:ext cx="5276850" cy="3518535"/>
                    </a:xfrm>
                    <a:prstGeom prst="rect">
                      <a:avLst/>
                    </a:prstGeom>
                    <a:noFill/>
                    <a:ln>
                      <a:noFill/>
                    </a:ln>
                  </pic:spPr>
                </pic:pic>
              </a:graphicData>
            </a:graphic>
          </wp:inline>
        </w:drawing>
      </w:r>
    </w:p>
    <w:p w14:paraId="64D7F8B9" w14:textId="77777777" w:rsidR="00624AAA" w:rsidRDefault="00C46345">
      <w:pPr>
        <w:spacing w:line="360" w:lineRule="auto"/>
        <w:rPr>
          <w:rFonts w:ascii="Times New Roman Regular" w:hAnsi="Times New Roman Regular" w:cs="Times New Roman Regular"/>
          <w:color w:val="000000" w:themeColor="text1"/>
          <w:sz w:val="24"/>
        </w:rPr>
      </w:pPr>
      <w:r>
        <w:rPr>
          <w:rFonts w:ascii="Palatino Linotype" w:eastAsia="Times New Roman" w:hAnsi="Palatino Linotype" w:cs="Times New Roman"/>
          <w:b/>
          <w:color w:val="000000"/>
          <w:kern w:val="0"/>
          <w:sz w:val="18"/>
          <w:szCs w:val="20"/>
          <w:lang w:bidi="en-US"/>
        </w:rPr>
        <w:t xml:space="preserve">Figure 9. </w:t>
      </w:r>
      <w:r>
        <w:rPr>
          <w:rFonts w:ascii="Palatino Linotype" w:eastAsia="Times New Roman" w:hAnsi="Palatino Linotype" w:cs="Times New Roman"/>
          <w:bCs/>
          <w:color w:val="000000"/>
          <w:kern w:val="0"/>
          <w:sz w:val="18"/>
          <w:szCs w:val="20"/>
          <w:lang w:bidi="en-US"/>
        </w:rPr>
        <w:t>Partial Dependence Plots for RDP</w:t>
      </w:r>
    </w:p>
    <w:p w14:paraId="4C6DC2B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6.</w:t>
      </w:r>
      <w:r>
        <w:rPr>
          <w:rFonts w:ascii="Palatino Linotype" w:eastAsia="Times New Roman" w:hAnsi="Palatino Linotype" w:cs="Times New Roman"/>
          <w:snapToGrid w:val="0"/>
          <w:color w:val="000000"/>
          <w:kern w:val="0"/>
          <w:sz w:val="20"/>
          <w:szCs w:val="21"/>
          <w:lang w:bidi="en-US"/>
        </w:rPr>
        <w:t>LT</w:t>
      </w:r>
    </w:p>
    <w:p w14:paraId="29D4142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As demonstrated in Figure 1</w:t>
      </w:r>
      <w:r>
        <w:rPr>
          <w:rFonts w:ascii="Palatino Linotype" w:eastAsia="Times New Roman" w:hAnsi="Palatino Linotype" w:cs="Times New Roman" w:hint="eastAsia"/>
          <w:snapToGrid w:val="0"/>
          <w:color w:val="000000"/>
          <w:kern w:val="0"/>
          <w:sz w:val="20"/>
          <w:szCs w:val="21"/>
          <w:lang w:bidi="en-US"/>
        </w:rPr>
        <w:t>0</w:t>
      </w:r>
      <w:r>
        <w:rPr>
          <w:rFonts w:ascii="Palatino Linotype" w:eastAsia="Times New Roman" w:hAnsi="Palatino Linotype" w:cs="Times New Roman"/>
          <w:snapToGrid w:val="0"/>
          <w:color w:val="000000"/>
          <w:kern w:val="0"/>
          <w:sz w:val="20"/>
          <w:szCs w:val="21"/>
          <w:lang w:bidi="en-US"/>
        </w:rPr>
        <w:t xml:space="preserve">, the predictive model for RDP shows a U-shaped relationship with SGR, with positive trends with PV. The analysis </w:t>
      </w:r>
      <w:r>
        <w:rPr>
          <w:rFonts w:ascii="Palatino Linotype" w:eastAsia="Times New Roman" w:hAnsi="Palatino Linotype" w:cs="Times New Roman"/>
          <w:snapToGrid w:val="0"/>
          <w:color w:val="000000"/>
          <w:kern w:val="0"/>
          <w:sz w:val="20"/>
          <w:szCs w:val="21"/>
          <w:lang w:bidi="en-US"/>
        </w:rPr>
        <w:t xml:space="preserve">shows that RDP is optimally transitioned in the range of 0.125 to 0.2 to </w:t>
      </w:r>
      <w:proofErr w:type="spellStart"/>
      <w:r>
        <w:rPr>
          <w:rFonts w:ascii="Palatino Linotype" w:eastAsia="Times New Roman" w:hAnsi="Palatino Linotype" w:cs="Times New Roman"/>
          <w:snapToGrid w:val="0"/>
          <w:color w:val="000000"/>
          <w:kern w:val="0"/>
          <w:sz w:val="20"/>
          <w:szCs w:val="21"/>
          <w:lang w:bidi="en-US"/>
        </w:rPr>
        <w:t>maximise</w:t>
      </w:r>
      <w:proofErr w:type="spellEnd"/>
      <w:r>
        <w:rPr>
          <w:rFonts w:ascii="Palatino Linotype" w:eastAsia="Times New Roman" w:hAnsi="Palatino Linotype" w:cs="Times New Roman"/>
          <w:snapToGrid w:val="0"/>
          <w:color w:val="000000"/>
          <w:kern w:val="0"/>
          <w:sz w:val="20"/>
          <w:szCs w:val="21"/>
          <w:lang w:bidi="en-US"/>
        </w:rPr>
        <w:t xml:space="preserve"> sustainable development, providing a finer yardstick than past research [</w:t>
      </w:r>
      <w:r>
        <w:rPr>
          <w:rFonts w:ascii="Palatino Linotype" w:eastAsia="Times New Roman" w:hAnsi="Palatino Linotype" w:cs="Times New Roman"/>
          <w:snapToGrid w:val="0"/>
          <w:color w:val="000000"/>
          <w:kern w:val="0"/>
          <w:sz w:val="20"/>
          <w:szCs w:val="21"/>
          <w:lang w:bidi="en-US"/>
        </w:rPr>
        <w:fldChar w:fldCharType="begin"/>
      </w:r>
      <w:r>
        <w:rPr>
          <w:rFonts w:ascii="Palatino Linotype" w:eastAsia="Times New Roman" w:hAnsi="Palatino Linotype" w:cs="Times New Roman"/>
          <w:snapToGrid w:val="0"/>
          <w:color w:val="000000"/>
          <w:kern w:val="0"/>
          <w:sz w:val="20"/>
          <w:szCs w:val="21"/>
          <w:lang w:bidi="en-US"/>
        </w:rPr>
        <w:instrText xml:space="preserve"> REF _Ref710939639 \r \h </w:instrText>
      </w:r>
      <w:r>
        <w:rPr>
          <w:rFonts w:ascii="Palatino Linotype" w:eastAsia="Times New Roman" w:hAnsi="Palatino Linotype" w:cs="Times New Roman"/>
          <w:snapToGrid w:val="0"/>
          <w:color w:val="000000"/>
          <w:kern w:val="0"/>
          <w:sz w:val="20"/>
          <w:szCs w:val="21"/>
          <w:lang w:bidi="en-US"/>
        </w:rPr>
      </w:r>
      <w:r>
        <w:rPr>
          <w:rFonts w:ascii="Palatino Linotype" w:eastAsia="Times New Roman" w:hAnsi="Palatino Linotype" w:cs="Times New Roman"/>
          <w:snapToGrid w:val="0"/>
          <w:color w:val="000000"/>
          <w:kern w:val="0"/>
          <w:sz w:val="20"/>
          <w:szCs w:val="21"/>
          <w:lang w:bidi="en-US"/>
        </w:rPr>
        <w:fldChar w:fldCharType="separate"/>
      </w:r>
      <w:r>
        <w:rPr>
          <w:rFonts w:ascii="Palatino Linotype" w:eastAsia="Times New Roman" w:hAnsi="Palatino Linotype" w:cs="Times New Roman"/>
          <w:snapToGrid w:val="0"/>
          <w:color w:val="000000"/>
          <w:kern w:val="0"/>
          <w:sz w:val="20"/>
          <w:szCs w:val="21"/>
          <w:lang w:bidi="en-US"/>
        </w:rPr>
        <w:t>32</w:t>
      </w:r>
      <w:r>
        <w:rPr>
          <w:rFonts w:ascii="Palatino Linotype" w:eastAsia="Times New Roman" w:hAnsi="Palatino Linotype" w:cs="Times New Roman"/>
          <w:snapToGrid w:val="0"/>
          <w:color w:val="000000"/>
          <w:kern w:val="0"/>
          <w:sz w:val="20"/>
          <w:szCs w:val="21"/>
          <w:lang w:bidi="en-US"/>
        </w:rPr>
        <w:fldChar w:fldCharType="end"/>
      </w:r>
      <w:r>
        <w:rPr>
          <w:rFonts w:ascii="Palatino Linotype" w:eastAsia="Times New Roman" w:hAnsi="Palatino Linotype" w:cs="Times New Roman"/>
          <w:snapToGrid w:val="0"/>
          <w:color w:val="000000"/>
          <w:kern w:val="0"/>
          <w:sz w:val="20"/>
          <w:szCs w:val="21"/>
          <w:lang w:bidi="en-US"/>
        </w:rPr>
        <w:t>]. The</w:t>
      </w:r>
      <w:r>
        <w:rPr>
          <w:rFonts w:ascii="Palatino Linotype" w:eastAsia="Times New Roman" w:hAnsi="Palatino Linotype" w:cs="Times New Roman"/>
          <w:snapToGrid w:val="0"/>
          <w:color w:val="000000"/>
          <w:kern w:val="0"/>
          <w:sz w:val="20"/>
          <w:szCs w:val="21"/>
          <w:lang w:bidi="en-US"/>
        </w:rPr>
        <w:t xml:space="preserve"> low industry mean RDP of 0.047 illustrates the need for firms to dramatically increase their commitment to R&amp;D investment to reach the optimum threshold for performance and sustainability.</w:t>
      </w:r>
    </w:p>
    <w:p w14:paraId="48166ABF" w14:textId="77777777" w:rsidR="00624AAA" w:rsidRDefault="00C46345">
      <w:pPr>
        <w:rPr>
          <w:rFonts w:ascii="Times New Roman" w:eastAsia="SimSun" w:hAnsi="Times New Roman" w:cs="Times New Roman"/>
        </w:rPr>
      </w:pPr>
      <w:r>
        <w:rPr>
          <w:rFonts w:ascii="Times New Roman" w:eastAsia="SimSun" w:hAnsi="Times New Roman" w:cs="Times New Roman"/>
          <w:noProof/>
        </w:rPr>
        <w:drawing>
          <wp:inline distT="0" distB="0" distL="114300" distR="114300" wp14:anchorId="5224B6CE" wp14:editId="6585ED60">
            <wp:extent cx="5096510" cy="3397885"/>
            <wp:effectExtent l="0" t="0" r="8890" b="5715"/>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15"/>
                    <a:stretch>
                      <a:fillRect/>
                    </a:stretch>
                  </pic:blipFill>
                  <pic:spPr>
                    <a:xfrm>
                      <a:off x="0" y="0"/>
                      <a:ext cx="5096510" cy="3397885"/>
                    </a:xfrm>
                    <a:prstGeom prst="rect">
                      <a:avLst/>
                    </a:prstGeom>
                    <a:noFill/>
                    <a:ln>
                      <a:noFill/>
                    </a:ln>
                  </pic:spPr>
                </pic:pic>
              </a:graphicData>
            </a:graphic>
          </wp:inline>
        </w:drawing>
      </w:r>
    </w:p>
    <w:p w14:paraId="1F09F2E9" w14:textId="77777777" w:rsidR="00624AAA" w:rsidRDefault="00C46345">
      <w:pPr>
        <w:spacing w:line="360" w:lineRule="auto"/>
        <w:rPr>
          <w:rFonts w:ascii="Times New Roman Regular" w:hAnsi="Times New Roman Regular" w:cs="Times New Roman Regular"/>
          <w:color w:val="000000" w:themeColor="text1"/>
          <w:sz w:val="24"/>
        </w:rPr>
      </w:pPr>
      <w:r>
        <w:rPr>
          <w:rFonts w:ascii="Palatino Linotype" w:eastAsia="Times New Roman" w:hAnsi="Palatino Linotype" w:cs="Times New Roman"/>
          <w:b/>
          <w:color w:val="000000"/>
          <w:kern w:val="0"/>
          <w:sz w:val="18"/>
          <w:szCs w:val="20"/>
          <w:lang w:bidi="en-US"/>
        </w:rPr>
        <w:lastRenderedPageBreak/>
        <w:t xml:space="preserve">Figure 10. </w:t>
      </w:r>
      <w:r>
        <w:rPr>
          <w:rFonts w:ascii="Palatino Linotype" w:eastAsia="Times New Roman" w:hAnsi="Palatino Linotype" w:cs="Times New Roman"/>
          <w:bCs/>
          <w:color w:val="000000"/>
          <w:kern w:val="0"/>
          <w:sz w:val="18"/>
          <w:szCs w:val="20"/>
          <w:lang w:bidi="en-US"/>
        </w:rPr>
        <w:t>Partial Dependence Plots for LT</w:t>
      </w:r>
    </w:p>
    <w:p w14:paraId="5BB8A01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hint="eastAsia"/>
          <w:snapToGrid w:val="0"/>
          <w:color w:val="000000"/>
          <w:kern w:val="0"/>
          <w:sz w:val="20"/>
          <w:szCs w:val="21"/>
          <w:lang w:bidi="en-US"/>
        </w:rPr>
        <w:t>7.</w:t>
      </w:r>
      <w:r>
        <w:rPr>
          <w:rFonts w:ascii="Palatino Linotype" w:eastAsia="Times New Roman" w:hAnsi="Palatino Linotype" w:cs="Times New Roman"/>
          <w:snapToGrid w:val="0"/>
          <w:color w:val="000000"/>
          <w:kern w:val="0"/>
          <w:sz w:val="20"/>
          <w:szCs w:val="21"/>
          <w:lang w:bidi="en-US"/>
        </w:rPr>
        <w:t>CENSU</w:t>
      </w:r>
    </w:p>
    <w:p w14:paraId="54E2B58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Analysis reveals a non-linear, U-shaped relationship between CENSU and corporate sustainability. Our model identifies an optimal CENSU level of ~20% that maximizes SGR. While initial concentration leverages economies of scale, excessive levels increase str</w:t>
      </w:r>
      <w:r>
        <w:rPr>
          <w:rFonts w:ascii="Palatino Linotype" w:eastAsia="Times New Roman" w:hAnsi="Palatino Linotype" w:cs="Times New Roman"/>
          <w:snapToGrid w:val="0"/>
          <w:color w:val="000000"/>
          <w:kern w:val="0"/>
          <w:sz w:val="20"/>
          <w:szCs w:val="21"/>
          <w:lang w:bidi="en-US"/>
        </w:rPr>
        <w:t xml:space="preserve">ategic vulnerability and supply chain risk. </w:t>
      </w:r>
      <w:proofErr w:type="gramStart"/>
      <w:r>
        <w:rPr>
          <w:rFonts w:ascii="Palatino Linotype" w:eastAsia="Times New Roman" w:hAnsi="Palatino Linotype" w:cs="Times New Roman"/>
          <w:snapToGrid w:val="0"/>
          <w:color w:val="000000"/>
          <w:kern w:val="0"/>
          <w:sz w:val="20"/>
          <w:szCs w:val="21"/>
          <w:lang w:bidi="en-US"/>
        </w:rPr>
        <w:t>This finding challenges</w:t>
      </w:r>
      <w:proofErr w:type="gramEnd"/>
      <w:r>
        <w:rPr>
          <w:rFonts w:ascii="Palatino Linotype" w:eastAsia="Times New Roman" w:hAnsi="Palatino Linotype" w:cs="Times New Roman"/>
          <w:snapToGrid w:val="0"/>
          <w:color w:val="000000"/>
          <w:kern w:val="0"/>
          <w:sz w:val="20"/>
          <w:szCs w:val="21"/>
          <w:lang w:bidi="en-US"/>
        </w:rPr>
        <w:t xml:space="preserve"> prior linear assumptions, providing a data-driven threshold for managers. Firms must actively balance supplier concentration to mitigate dependency risks, balancing efficiency against stra</w:t>
      </w:r>
      <w:r>
        <w:rPr>
          <w:rFonts w:ascii="Palatino Linotype" w:eastAsia="Times New Roman" w:hAnsi="Palatino Linotype" w:cs="Times New Roman"/>
          <w:snapToGrid w:val="0"/>
          <w:color w:val="000000"/>
          <w:kern w:val="0"/>
          <w:sz w:val="20"/>
          <w:szCs w:val="21"/>
          <w:lang w:bidi="en-US"/>
        </w:rPr>
        <w:t>tegic resilience to foster sustainable long-term growth.</w:t>
      </w:r>
    </w:p>
    <w:p w14:paraId="185BAD3B"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p w14:paraId="10115D18" w14:textId="77777777" w:rsidR="00624AAA" w:rsidRDefault="00C46345">
      <w:pPr>
        <w:jc w:val="center"/>
        <w:rPr>
          <w:rFonts w:ascii="Times New Roman" w:eastAsia="SimSun" w:hAnsi="Times New Roman" w:cs="Times New Roman"/>
        </w:rPr>
      </w:pPr>
      <w:r>
        <w:rPr>
          <w:rFonts w:ascii="Times New Roman" w:eastAsia="SimSun" w:hAnsi="Times New Roman" w:cs="Times New Roman"/>
          <w:noProof/>
        </w:rPr>
        <w:drawing>
          <wp:inline distT="0" distB="0" distL="114300" distR="114300" wp14:anchorId="5DF07555" wp14:editId="6CD22893">
            <wp:extent cx="5292090" cy="3528060"/>
            <wp:effectExtent l="0" t="0" r="16510" b="2540"/>
            <wp:docPr id="1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6"/>
                    <pic:cNvPicPr>
                      <a:picLocks noChangeAspect="1"/>
                    </pic:cNvPicPr>
                  </pic:nvPicPr>
                  <pic:blipFill>
                    <a:blip r:embed="rId16"/>
                    <a:stretch>
                      <a:fillRect/>
                    </a:stretch>
                  </pic:blipFill>
                  <pic:spPr>
                    <a:xfrm>
                      <a:off x="0" y="0"/>
                      <a:ext cx="5292090" cy="3528060"/>
                    </a:xfrm>
                    <a:prstGeom prst="rect">
                      <a:avLst/>
                    </a:prstGeom>
                    <a:noFill/>
                    <a:ln>
                      <a:noFill/>
                    </a:ln>
                  </pic:spPr>
                </pic:pic>
              </a:graphicData>
            </a:graphic>
          </wp:inline>
        </w:drawing>
      </w:r>
    </w:p>
    <w:p w14:paraId="052D1F17" w14:textId="77777777" w:rsidR="00624AAA" w:rsidRDefault="00C46345">
      <w:pPr>
        <w:spacing w:line="360" w:lineRule="auto"/>
        <w:rPr>
          <w:rFonts w:ascii="Times New Roman Regular" w:hAnsi="Times New Roman Regular" w:cs="Times New Roman Regular"/>
          <w:color w:val="000000" w:themeColor="text1"/>
          <w:sz w:val="24"/>
        </w:rPr>
      </w:pPr>
      <w:r>
        <w:rPr>
          <w:rFonts w:ascii="Palatino Linotype" w:eastAsia="Times New Roman" w:hAnsi="Palatino Linotype" w:cs="Times New Roman"/>
          <w:b/>
          <w:color w:val="000000"/>
          <w:kern w:val="0"/>
          <w:sz w:val="18"/>
          <w:szCs w:val="20"/>
          <w:lang w:bidi="en-US"/>
        </w:rPr>
        <w:t xml:space="preserve">Figure 11. </w:t>
      </w:r>
      <w:r>
        <w:rPr>
          <w:rFonts w:ascii="Palatino Linotype" w:eastAsia="Times New Roman" w:hAnsi="Palatino Linotype" w:cs="Times New Roman"/>
          <w:bCs/>
          <w:color w:val="000000"/>
          <w:kern w:val="0"/>
          <w:sz w:val="18"/>
          <w:szCs w:val="20"/>
          <w:lang w:bidi="en-US"/>
        </w:rPr>
        <w:t>Partial Dependence Plots for CENSU</w:t>
      </w:r>
    </w:p>
    <w:p w14:paraId="2F0E5FC4" w14:textId="77777777" w:rsidR="00624AAA" w:rsidRDefault="00C46345">
      <w:pPr>
        <w:pStyle w:val="MDPI22heading2"/>
        <w:spacing w:before="240"/>
        <w:ind w:left="0"/>
        <w:rPr>
          <w:lang w:eastAsia="zh-CN"/>
        </w:rPr>
      </w:pPr>
      <w:r>
        <w:rPr>
          <w:rFonts w:hint="eastAsia"/>
          <w:lang w:eastAsia="zh-CN"/>
        </w:rPr>
        <w:t>5</w:t>
      </w:r>
      <w:r>
        <w:rPr>
          <w:lang w:eastAsia="zh-CN"/>
        </w:rPr>
        <w:t>.4 Interaction Effects</w:t>
      </w:r>
    </w:p>
    <w:p w14:paraId="557CB4B3"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Table 7 shows the five pairs of interaction terms that were shown to be significant in predicting sustainable </w:t>
      </w:r>
      <w:r>
        <w:rPr>
          <w:rFonts w:ascii="Palatino Linotype" w:eastAsia="Times New Roman" w:hAnsi="Palatino Linotype" w:cs="Times New Roman"/>
          <w:snapToGrid w:val="0"/>
          <w:color w:val="000000"/>
          <w:kern w:val="0"/>
          <w:sz w:val="20"/>
          <w:szCs w:val="20"/>
          <w:lang w:bidi="en-US"/>
        </w:rPr>
        <w:t>development outcomes. The "Global Contribution" was used to show the contribution of each pair of normalized interacted variables to the total variance in the prediction results. For example, if we consider the 1.10 percent value, it indicates that the int</w:t>
      </w:r>
      <w:r>
        <w:rPr>
          <w:rFonts w:ascii="Palatino Linotype" w:eastAsia="Times New Roman" w:hAnsi="Palatino Linotype" w:cs="Times New Roman"/>
          <w:snapToGrid w:val="0"/>
          <w:color w:val="000000"/>
          <w:kern w:val="0"/>
          <w:sz w:val="20"/>
          <w:szCs w:val="20"/>
          <w:lang w:bidi="en-US"/>
        </w:rPr>
        <w:t>eractive contribution from the Green Management and Research and Development Investment ratio (RDP) variable contributed 1.10 percent of the total variance. The five most prominent pairs of interacting variables are listed below.</w:t>
      </w:r>
    </w:p>
    <w:p w14:paraId="2C2D1058" w14:textId="77777777" w:rsidR="00624AAA" w:rsidRDefault="00624AAA">
      <w:pPr>
        <w:spacing w:line="280" w:lineRule="exact"/>
        <w:rPr>
          <w:rFonts w:ascii="Palatino Linotype" w:eastAsia="Times New Roman" w:hAnsi="Palatino Linotype" w:cs="Times New Roman"/>
          <w:snapToGrid w:val="0"/>
          <w:color w:val="000000"/>
          <w:kern w:val="0"/>
          <w:sz w:val="20"/>
          <w:szCs w:val="20"/>
          <w:lang w:bidi="en-US"/>
        </w:rPr>
      </w:pPr>
    </w:p>
    <w:p w14:paraId="57D8C739" w14:textId="77777777" w:rsidR="00624AAA" w:rsidRDefault="00C46345">
      <w:pPr>
        <w:pStyle w:val="MDPI23heading3"/>
        <w:ind w:left="0"/>
        <w:rPr>
          <w:szCs w:val="20"/>
          <w:lang w:eastAsia="zh-CN"/>
        </w:rPr>
      </w:pPr>
      <w:r>
        <w:rPr>
          <w:rFonts w:hint="eastAsia"/>
          <w:szCs w:val="20"/>
          <w:lang w:eastAsia="zh-CN"/>
        </w:rPr>
        <w:t>5</w:t>
      </w:r>
      <w:r>
        <w:rPr>
          <w:szCs w:val="20"/>
          <w:lang w:eastAsia="zh-CN"/>
        </w:rPr>
        <w:t xml:space="preserve">.4.1 Return on </w:t>
      </w:r>
      <w:r>
        <w:rPr>
          <w:szCs w:val="20"/>
          <w:lang w:eastAsia="zh-CN"/>
        </w:rPr>
        <w:t>Equity Growth (GROE) and Green Development (</w:t>
      </w:r>
      <w:proofErr w:type="spellStart"/>
      <w:r>
        <w:rPr>
          <w:szCs w:val="20"/>
          <w:lang w:eastAsia="zh-CN"/>
        </w:rPr>
        <w:t>greenmanagement</w:t>
      </w:r>
      <w:proofErr w:type="spellEnd"/>
      <w:r>
        <w:rPr>
          <w:szCs w:val="20"/>
          <w:lang w:eastAsia="zh-CN"/>
        </w:rPr>
        <w:t>)</w:t>
      </w:r>
    </w:p>
    <w:p w14:paraId="325FCBF2"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Return on Equity (ROE) gauges the effectiveness of the organization at creating profits on behalf of the shareholders, while Green Management refers to the practices and strategic considerations </w:t>
      </w:r>
      <w:r>
        <w:rPr>
          <w:rFonts w:ascii="Palatino Linotype" w:eastAsia="Times New Roman" w:hAnsi="Palatino Linotype" w:cs="Times New Roman"/>
          <w:snapToGrid w:val="0"/>
          <w:color w:val="000000"/>
          <w:kern w:val="0"/>
          <w:sz w:val="20"/>
          <w:szCs w:val="20"/>
          <w:lang w:bidi="en-US"/>
        </w:rPr>
        <w:t xml:space="preserve">with the intent of mitigating environmental impacts and considering sustainability. The strong interaction between the two identified themes indicates that if companies are able to “adopt and implement” green management practices into their </w:t>
      </w:r>
      <w:r>
        <w:rPr>
          <w:rFonts w:ascii="Palatino Linotype" w:eastAsia="Times New Roman" w:hAnsi="Palatino Linotype" w:cs="Times New Roman"/>
          <w:snapToGrid w:val="0"/>
          <w:color w:val="000000"/>
          <w:kern w:val="0"/>
          <w:sz w:val="20"/>
          <w:szCs w:val="20"/>
          <w:lang w:bidi="en-US"/>
        </w:rPr>
        <w:lastRenderedPageBreak/>
        <w:t>operations syst</w:t>
      </w:r>
      <w:r>
        <w:rPr>
          <w:rFonts w:ascii="Palatino Linotype" w:eastAsia="Times New Roman" w:hAnsi="Palatino Linotype" w:cs="Times New Roman"/>
          <w:snapToGrid w:val="0"/>
          <w:color w:val="000000"/>
          <w:kern w:val="0"/>
          <w:sz w:val="20"/>
          <w:szCs w:val="20"/>
          <w:lang w:bidi="en-US"/>
        </w:rPr>
        <w:t xml:space="preserve">em and processes, the profitability and financial performance of an organization will enhance, consequently enhancing their sustainable development. Green practices lead to cost savings, improved efficiency and enhanced brand reputation, and these factors </w:t>
      </w:r>
      <w:r>
        <w:rPr>
          <w:rFonts w:ascii="Palatino Linotype" w:eastAsia="Times New Roman" w:hAnsi="Palatino Linotype" w:cs="Times New Roman"/>
          <w:snapToGrid w:val="0"/>
          <w:color w:val="000000"/>
          <w:kern w:val="0"/>
          <w:sz w:val="20"/>
          <w:szCs w:val="20"/>
          <w:lang w:bidi="en-US"/>
        </w:rPr>
        <w:t>can positively impact Return on Equity.</w:t>
      </w:r>
    </w:p>
    <w:p w14:paraId="201FCE85" w14:textId="77777777" w:rsidR="00624AAA" w:rsidRDefault="00C46345">
      <w:pPr>
        <w:pStyle w:val="MDPI23heading3"/>
        <w:ind w:left="0"/>
        <w:rPr>
          <w:szCs w:val="20"/>
          <w:lang w:eastAsia="zh-CN"/>
        </w:rPr>
      </w:pPr>
      <w:r>
        <w:rPr>
          <w:szCs w:val="20"/>
          <w:lang w:eastAsia="zh-CN"/>
        </w:rPr>
        <w:t xml:space="preserve">5.4.2 Profit Growth (GPF) and Green </w:t>
      </w:r>
      <w:proofErr w:type="spellStart"/>
      <w:r>
        <w:rPr>
          <w:szCs w:val="20"/>
          <w:lang w:eastAsia="zh-CN"/>
        </w:rPr>
        <w:t>Management（</w:t>
      </w:r>
      <w:r>
        <w:rPr>
          <w:rFonts w:hint="eastAsia"/>
          <w:szCs w:val="20"/>
          <w:lang w:eastAsia="zh-CN"/>
        </w:rPr>
        <w:t>g</w:t>
      </w:r>
      <w:r>
        <w:rPr>
          <w:szCs w:val="20"/>
          <w:lang w:eastAsia="zh-CN"/>
        </w:rPr>
        <w:t>reenmanagement</w:t>
      </w:r>
      <w:proofErr w:type="spellEnd"/>
      <w:r>
        <w:rPr>
          <w:szCs w:val="20"/>
          <w:lang w:eastAsia="zh-CN"/>
        </w:rPr>
        <w:t>）</w:t>
      </w:r>
    </w:p>
    <w:p w14:paraId="7F42825A"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Profit Growth is similarly an indication of an organization's ability to generate revenue while green management is an okay way to balance the impacts o</w:t>
      </w:r>
      <w:r>
        <w:rPr>
          <w:rFonts w:ascii="Palatino Linotype" w:eastAsia="Times New Roman" w:hAnsi="Palatino Linotype" w:cs="Times New Roman"/>
          <w:snapToGrid w:val="0"/>
          <w:color w:val="000000"/>
          <w:kern w:val="0"/>
          <w:sz w:val="20"/>
          <w:szCs w:val="20"/>
          <w:lang w:bidi="en-US"/>
        </w:rPr>
        <w:t>f economic growth and responsibilities related to environmental and social concerns. The robust association between the two suggests that organizations that pursue green initiatives are not inhibited from earning profits; in fact, green initiatives may enh</w:t>
      </w:r>
      <w:r>
        <w:rPr>
          <w:rFonts w:ascii="Palatino Linotype" w:eastAsia="Times New Roman" w:hAnsi="Palatino Linotype" w:cs="Times New Roman"/>
          <w:snapToGrid w:val="0"/>
          <w:color w:val="000000"/>
          <w:kern w:val="0"/>
          <w:sz w:val="20"/>
          <w:szCs w:val="20"/>
          <w:lang w:bidi="en-US"/>
        </w:rPr>
        <w:t>ance profitability by increasing the proportion of customers that prefer to deal with environmentally concerned organizations, promote resource efficiency by reducing costs, and mitigate liability relating to matters of environmental non-compliance.</w:t>
      </w:r>
    </w:p>
    <w:p w14:paraId="358FC62F" w14:textId="77777777" w:rsidR="00624AAA" w:rsidRDefault="00C46345">
      <w:pPr>
        <w:pStyle w:val="MDPI23heading3"/>
        <w:ind w:left="0"/>
        <w:rPr>
          <w:szCs w:val="20"/>
          <w:lang w:eastAsia="zh-CN"/>
        </w:rPr>
      </w:pPr>
      <w:r>
        <w:rPr>
          <w:szCs w:val="20"/>
          <w:lang w:eastAsia="zh-CN"/>
        </w:rPr>
        <w:t xml:space="preserve">5.4.3 </w:t>
      </w:r>
      <w:r>
        <w:rPr>
          <w:szCs w:val="20"/>
          <w:lang w:eastAsia="zh-CN"/>
        </w:rPr>
        <w:t>Green Transformation (</w:t>
      </w:r>
      <w:proofErr w:type="spellStart"/>
      <w:r>
        <w:rPr>
          <w:rFonts w:hint="eastAsia"/>
          <w:szCs w:val="20"/>
          <w:lang w:eastAsia="zh-CN"/>
        </w:rPr>
        <w:t>g</w:t>
      </w:r>
      <w:r>
        <w:rPr>
          <w:szCs w:val="20"/>
          <w:lang w:eastAsia="zh-CN"/>
        </w:rPr>
        <w:t>reentran</w:t>
      </w:r>
      <w:proofErr w:type="spellEnd"/>
      <w:r>
        <w:rPr>
          <w:szCs w:val="20"/>
          <w:lang w:eastAsia="zh-CN"/>
        </w:rPr>
        <w:t>) and Research and Development Quality (RDQ)</w:t>
      </w:r>
    </w:p>
    <w:p w14:paraId="67B2CCEB"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Green transformation refers to the process of moving towards environmental sustainability in business practices, while Research and Development Quality provides a measure of the in</w:t>
      </w:r>
      <w:r>
        <w:rPr>
          <w:rFonts w:ascii="Palatino Linotype" w:eastAsia="Times New Roman" w:hAnsi="Palatino Linotype" w:cs="Times New Roman"/>
          <w:snapToGrid w:val="0"/>
          <w:color w:val="000000"/>
          <w:kern w:val="0"/>
          <w:sz w:val="20"/>
          <w:szCs w:val="20"/>
          <w:lang w:bidi="en-US"/>
        </w:rPr>
        <w:t>novation and effectiveness of R&amp;D. The strong effect between the two indicates that high-quality R&amp;D is needed in order for green transformation to be effective. Innovative R&amp;D has real applications for the development of more environmentally sustainable t</w:t>
      </w:r>
      <w:r>
        <w:rPr>
          <w:rFonts w:ascii="Palatino Linotype" w:eastAsia="Times New Roman" w:hAnsi="Palatino Linotype" w:cs="Times New Roman"/>
          <w:snapToGrid w:val="0"/>
          <w:color w:val="000000"/>
          <w:kern w:val="0"/>
          <w:sz w:val="20"/>
          <w:szCs w:val="20"/>
          <w:lang w:bidi="en-US"/>
        </w:rPr>
        <w:t xml:space="preserve">echnologies, products, and processes in support of sustainability commitments. </w:t>
      </w:r>
    </w:p>
    <w:p w14:paraId="516C3706" w14:textId="77777777" w:rsidR="00624AAA" w:rsidRDefault="00C46345">
      <w:pPr>
        <w:pStyle w:val="MDPI23heading3"/>
        <w:ind w:left="0"/>
        <w:rPr>
          <w:szCs w:val="20"/>
          <w:lang w:eastAsia="zh-CN"/>
        </w:rPr>
      </w:pPr>
      <w:r>
        <w:rPr>
          <w:szCs w:val="20"/>
          <w:lang w:eastAsia="zh-CN"/>
        </w:rPr>
        <w:t>5.4.4 Green Investment Ratio (</w:t>
      </w:r>
      <w:proofErr w:type="spellStart"/>
      <w:r>
        <w:rPr>
          <w:rFonts w:hint="eastAsia"/>
          <w:szCs w:val="20"/>
          <w:lang w:eastAsia="zh-CN"/>
        </w:rPr>
        <w:t>g</w:t>
      </w:r>
      <w:r>
        <w:rPr>
          <w:szCs w:val="20"/>
          <w:lang w:eastAsia="zh-CN"/>
        </w:rPr>
        <w:t>reeninvest</w:t>
      </w:r>
      <w:proofErr w:type="spellEnd"/>
      <w:r>
        <w:rPr>
          <w:szCs w:val="20"/>
          <w:lang w:eastAsia="zh-CN"/>
        </w:rPr>
        <w:t>) and Research and Development Investment Ratio (RDP)</w:t>
      </w:r>
    </w:p>
    <w:p w14:paraId="3F87D159"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Green investment, as defined in this study, refers to investment in environmental</w:t>
      </w:r>
      <w:r>
        <w:rPr>
          <w:rFonts w:ascii="Palatino Linotype" w:eastAsia="Times New Roman" w:hAnsi="Palatino Linotype" w:cs="Times New Roman"/>
          <w:snapToGrid w:val="0"/>
          <w:color w:val="000000"/>
          <w:kern w:val="0"/>
          <w:sz w:val="20"/>
          <w:szCs w:val="20"/>
          <w:lang w:bidi="en-US"/>
        </w:rPr>
        <w:t xml:space="preserve">ly sustainable projects, processes or initiatives; Research and Development Investment Ratio (RDP), refers to the investment of resources toward R&amp;D. The strong interaction between the two variables suggests that organizations that focus on R&amp;D are likely </w:t>
      </w:r>
      <w:r>
        <w:rPr>
          <w:rFonts w:ascii="Palatino Linotype" w:eastAsia="Times New Roman" w:hAnsi="Palatino Linotype" w:cs="Times New Roman"/>
          <w:snapToGrid w:val="0"/>
          <w:color w:val="000000"/>
          <w:kern w:val="0"/>
          <w:sz w:val="20"/>
          <w:szCs w:val="20"/>
          <w:lang w:bidi="en-US"/>
        </w:rPr>
        <w:t>to invest in green initiatives. One explanation for this relationship is that organizations are aware that R&amp;D is a necessity for the development and implementation of new green technologies, processes and products. In addition to generating R&amp;D for new gr</w:t>
      </w:r>
      <w:r>
        <w:rPr>
          <w:rFonts w:ascii="Palatino Linotype" w:eastAsia="Times New Roman" w:hAnsi="Palatino Linotype" w:cs="Times New Roman"/>
          <w:snapToGrid w:val="0"/>
          <w:color w:val="000000"/>
          <w:kern w:val="0"/>
          <w:sz w:val="20"/>
          <w:szCs w:val="20"/>
          <w:lang w:bidi="en-US"/>
        </w:rPr>
        <w:t>een initiatives, green investment will also produce new R&amp;D since organizations will endeavor to improve their sustainable development performance.</w:t>
      </w:r>
    </w:p>
    <w:p w14:paraId="587719F3" w14:textId="77777777" w:rsidR="00624AAA" w:rsidRDefault="00C46345">
      <w:pPr>
        <w:pStyle w:val="MDPI23heading3"/>
        <w:ind w:left="0"/>
        <w:rPr>
          <w:szCs w:val="20"/>
          <w:lang w:eastAsia="zh-CN"/>
        </w:rPr>
      </w:pPr>
      <w:r>
        <w:rPr>
          <w:szCs w:val="20"/>
          <w:lang w:eastAsia="zh-CN"/>
        </w:rPr>
        <w:t>5.4.5 Liquid Asset Turnover Ratio (LT) and Research and Development Ratio (RDP)</w:t>
      </w:r>
    </w:p>
    <w:p w14:paraId="6C2B5837"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The Liquid Asset Turnover Ra</w:t>
      </w:r>
      <w:r>
        <w:rPr>
          <w:rFonts w:ascii="Palatino Linotype" w:eastAsia="Times New Roman" w:hAnsi="Palatino Linotype" w:cs="Times New Roman"/>
          <w:snapToGrid w:val="0"/>
          <w:color w:val="000000"/>
          <w:kern w:val="0"/>
          <w:sz w:val="20"/>
          <w:szCs w:val="20"/>
          <w:lang w:bidi="en-US"/>
        </w:rPr>
        <w:t>tio refers to how efficiently an organization turns its cash and other liquid assets into revenue; the Research and Development Investment Ratio (RDP) refers to the commitment to innovate. The strong interaction between LT and RDP suggests that the organiz</w:t>
      </w:r>
      <w:r>
        <w:rPr>
          <w:rFonts w:ascii="Palatino Linotype" w:eastAsia="Times New Roman" w:hAnsi="Palatino Linotype" w:cs="Times New Roman"/>
          <w:snapToGrid w:val="0"/>
          <w:color w:val="000000"/>
          <w:kern w:val="0"/>
          <w:sz w:val="20"/>
          <w:szCs w:val="20"/>
          <w:lang w:bidi="en-US"/>
        </w:rPr>
        <w:t>ation has committed to R&amp;D - further sustainable development through the development of new technologies/processes - if the organization can turn its liquid assets into revenue efficiently. Efficient asset turnover would allow firms to have greater financi</w:t>
      </w:r>
      <w:r>
        <w:rPr>
          <w:rFonts w:ascii="Palatino Linotype" w:eastAsia="Times New Roman" w:hAnsi="Palatino Linotype" w:cs="Times New Roman"/>
          <w:snapToGrid w:val="0"/>
          <w:color w:val="000000"/>
          <w:kern w:val="0"/>
          <w:sz w:val="20"/>
          <w:szCs w:val="20"/>
          <w:lang w:bidi="en-US"/>
        </w:rPr>
        <w:t>al flexibility to be able to fund R&amp;D projects that build upon the innovations that support environmental and social sustainable development.</w:t>
      </w:r>
    </w:p>
    <w:p w14:paraId="55E4271F"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The five strongest pairs of interacting variables highlighted in Table 7 which emphasized the contextual interacti</w:t>
      </w:r>
      <w:r>
        <w:rPr>
          <w:rFonts w:ascii="Palatino Linotype" w:eastAsia="Times New Roman" w:hAnsi="Palatino Linotype" w:cs="Times New Roman"/>
          <w:snapToGrid w:val="0"/>
          <w:color w:val="000000"/>
          <w:kern w:val="0"/>
          <w:sz w:val="20"/>
          <w:szCs w:val="20"/>
          <w:lang w:bidi="en-US"/>
        </w:rPr>
        <w:t>on between financial performance, green development and R&amp;D investment which determined that by taking all of these metrics into account, organizations are likely to improve their sustainable development performance and ultimately achieve their sustainabil</w:t>
      </w:r>
      <w:r>
        <w:rPr>
          <w:rFonts w:ascii="Palatino Linotype" w:eastAsia="Times New Roman" w:hAnsi="Palatino Linotype" w:cs="Times New Roman"/>
          <w:snapToGrid w:val="0"/>
          <w:color w:val="000000"/>
          <w:kern w:val="0"/>
          <w:sz w:val="20"/>
          <w:szCs w:val="20"/>
          <w:lang w:bidi="en-US"/>
        </w:rPr>
        <w:t>ity orders.</w:t>
      </w:r>
    </w:p>
    <w:p w14:paraId="2CBDB4E4" w14:textId="77777777" w:rsidR="00624AAA" w:rsidRDefault="00624AAA">
      <w:pPr>
        <w:rPr>
          <w:rFonts w:ascii="Times New Roman" w:eastAsia="SimSun" w:hAnsi="Times New Roman" w:cs="Times New Roman"/>
        </w:rPr>
      </w:pPr>
    </w:p>
    <w:p w14:paraId="04D16680" w14:textId="77777777" w:rsidR="00624AAA" w:rsidRDefault="00C46345">
      <w:pPr>
        <w:pStyle w:val="MDPI41tablecaption"/>
        <w:ind w:left="0"/>
        <w:rPr>
          <w:b/>
          <w:sz w:val="20"/>
          <w:szCs w:val="24"/>
          <w:lang w:eastAsia="zh-CN"/>
        </w:rPr>
      </w:pPr>
      <w:r>
        <w:rPr>
          <w:b/>
          <w:sz w:val="20"/>
          <w:szCs w:val="24"/>
          <w:lang w:eastAsia="zh-CN"/>
        </w:rPr>
        <w:t xml:space="preserve">Table 7. </w:t>
      </w:r>
      <w:r>
        <w:rPr>
          <w:bCs/>
          <w:sz w:val="20"/>
          <w:szCs w:val="24"/>
          <w:lang w:eastAsia="zh-CN"/>
        </w:rPr>
        <w:t>Interaction effects</w:t>
      </w:r>
    </w:p>
    <w:tbl>
      <w:tblPr>
        <w:tblpPr w:leftFromText="180" w:rightFromText="180" w:vertAnchor="text" w:horzAnchor="page" w:tblpX="1799" w:tblpY="291"/>
        <w:tblOverlap w:val="never"/>
        <w:tblW w:w="5000" w:type="pct"/>
        <w:tblLayout w:type="fixed"/>
        <w:tblLook w:val="04A0" w:firstRow="1" w:lastRow="0" w:firstColumn="1" w:lastColumn="0" w:noHBand="0" w:noVBand="1"/>
      </w:tblPr>
      <w:tblGrid>
        <w:gridCol w:w="1266"/>
        <w:gridCol w:w="1256"/>
        <w:gridCol w:w="2158"/>
        <w:gridCol w:w="2025"/>
        <w:gridCol w:w="1601"/>
      </w:tblGrid>
      <w:tr w:rsidR="00624AAA" w14:paraId="7CD42C35" w14:textId="77777777">
        <w:trPr>
          <w:trHeight w:val="288"/>
        </w:trPr>
        <w:tc>
          <w:tcPr>
            <w:tcW w:w="762" w:type="pct"/>
            <w:tcBorders>
              <w:top w:val="single" w:sz="12" w:space="0" w:color="000000"/>
              <w:left w:val="nil"/>
              <w:bottom w:val="single" w:sz="4" w:space="0" w:color="000000"/>
              <w:right w:val="nil"/>
              <w:tl2br w:val="nil"/>
            </w:tcBorders>
            <w:shd w:val="clear" w:color="auto" w:fill="FFFFFF"/>
            <w:noWrap/>
            <w:vAlign w:val="bottom"/>
          </w:tcPr>
          <w:p w14:paraId="7055DD8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lastRenderedPageBreak/>
              <w:t>Global Scores-SGR:</w:t>
            </w:r>
          </w:p>
        </w:tc>
        <w:tc>
          <w:tcPr>
            <w:tcW w:w="756" w:type="pct"/>
            <w:tcBorders>
              <w:top w:val="single" w:sz="12" w:space="0" w:color="000000"/>
              <w:left w:val="nil"/>
              <w:bottom w:val="single" w:sz="4" w:space="0" w:color="000000"/>
              <w:right w:val="nil"/>
            </w:tcBorders>
            <w:shd w:val="clear" w:color="auto" w:fill="FFFFFF"/>
            <w:noWrap/>
            <w:vAlign w:val="bottom"/>
          </w:tcPr>
          <w:p w14:paraId="2920FB4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Global Scores-PV:</w:t>
            </w:r>
          </w:p>
        </w:tc>
        <w:tc>
          <w:tcPr>
            <w:tcW w:w="1298" w:type="pct"/>
            <w:tcBorders>
              <w:top w:val="single" w:sz="12" w:space="0" w:color="000000"/>
              <w:left w:val="nil"/>
              <w:bottom w:val="single" w:sz="4" w:space="0" w:color="000000"/>
              <w:right w:val="nil"/>
            </w:tcBorders>
            <w:shd w:val="clear" w:color="auto" w:fill="FFFFFF"/>
            <w:noWrap/>
            <w:vAlign w:val="center"/>
          </w:tcPr>
          <w:p w14:paraId="7155C90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Predictor1</w:t>
            </w:r>
          </w:p>
        </w:tc>
        <w:tc>
          <w:tcPr>
            <w:tcW w:w="1218" w:type="pct"/>
            <w:tcBorders>
              <w:top w:val="single" w:sz="12" w:space="0" w:color="000000"/>
              <w:left w:val="nil"/>
              <w:bottom w:val="single" w:sz="4" w:space="0" w:color="000000"/>
              <w:right w:val="nil"/>
            </w:tcBorders>
            <w:shd w:val="clear" w:color="auto" w:fill="FFFFFF"/>
            <w:noWrap/>
            <w:vAlign w:val="center"/>
          </w:tcPr>
          <w:p w14:paraId="030F299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Predictor2</w:t>
            </w:r>
          </w:p>
        </w:tc>
        <w:tc>
          <w:tcPr>
            <w:tcW w:w="963" w:type="pct"/>
            <w:tcBorders>
              <w:top w:val="single" w:sz="12" w:space="0" w:color="000000"/>
              <w:left w:val="nil"/>
              <w:bottom w:val="single" w:sz="4" w:space="0" w:color="000000"/>
              <w:right w:val="nil"/>
            </w:tcBorders>
            <w:shd w:val="clear" w:color="auto" w:fill="FFFFFF"/>
            <w:noWrap/>
            <w:vAlign w:val="bottom"/>
          </w:tcPr>
          <w:p w14:paraId="77BBDB2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direction of interaction effect</w:t>
            </w:r>
          </w:p>
        </w:tc>
      </w:tr>
      <w:tr w:rsidR="00624AAA" w14:paraId="33B5CD0A" w14:textId="77777777">
        <w:trPr>
          <w:trHeight w:val="288"/>
        </w:trPr>
        <w:tc>
          <w:tcPr>
            <w:tcW w:w="762" w:type="pct"/>
            <w:tcBorders>
              <w:top w:val="single" w:sz="4" w:space="0" w:color="000000"/>
              <w:left w:val="nil"/>
              <w:bottom w:val="nil"/>
              <w:right w:val="nil"/>
            </w:tcBorders>
            <w:shd w:val="clear" w:color="auto" w:fill="FFFFFF"/>
            <w:noWrap/>
            <w:vAlign w:val="bottom"/>
          </w:tcPr>
          <w:p w14:paraId="72B0DC8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5.78%</w:t>
            </w:r>
          </w:p>
        </w:tc>
        <w:tc>
          <w:tcPr>
            <w:tcW w:w="756" w:type="pct"/>
            <w:tcBorders>
              <w:top w:val="single" w:sz="4" w:space="0" w:color="000000"/>
              <w:left w:val="nil"/>
              <w:bottom w:val="nil"/>
              <w:right w:val="nil"/>
            </w:tcBorders>
            <w:shd w:val="clear" w:color="auto" w:fill="FFFFFF"/>
            <w:noWrap/>
            <w:vAlign w:val="bottom"/>
          </w:tcPr>
          <w:p w14:paraId="0608D07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7.38%</w:t>
            </w:r>
          </w:p>
        </w:tc>
        <w:tc>
          <w:tcPr>
            <w:tcW w:w="1298" w:type="pct"/>
            <w:tcBorders>
              <w:top w:val="single" w:sz="4" w:space="0" w:color="000000"/>
              <w:left w:val="nil"/>
              <w:bottom w:val="nil"/>
              <w:right w:val="nil"/>
            </w:tcBorders>
            <w:shd w:val="clear" w:color="auto" w:fill="FFFFFF"/>
            <w:noWrap/>
          </w:tcPr>
          <w:p w14:paraId="1B32C36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greeninvest</w:t>
            </w:r>
            <w:proofErr w:type="spellEnd"/>
          </w:p>
        </w:tc>
        <w:tc>
          <w:tcPr>
            <w:tcW w:w="1218" w:type="pct"/>
            <w:tcBorders>
              <w:top w:val="single" w:sz="4" w:space="0" w:color="000000"/>
              <w:left w:val="nil"/>
              <w:bottom w:val="nil"/>
              <w:right w:val="nil"/>
            </w:tcBorders>
            <w:shd w:val="clear" w:color="auto" w:fill="FFFFFF"/>
            <w:noWrap/>
          </w:tcPr>
          <w:p w14:paraId="057EC2D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963" w:type="pct"/>
            <w:tcBorders>
              <w:top w:val="single" w:sz="4" w:space="0" w:color="000000"/>
              <w:left w:val="nil"/>
              <w:bottom w:val="nil"/>
              <w:right w:val="nil"/>
            </w:tcBorders>
            <w:shd w:val="clear" w:color="auto" w:fill="FFFFFF"/>
            <w:noWrap/>
            <w:vAlign w:val="bottom"/>
          </w:tcPr>
          <w:p w14:paraId="6B04D6E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3F70E5DA" w14:textId="77777777">
        <w:trPr>
          <w:trHeight w:val="288"/>
        </w:trPr>
        <w:tc>
          <w:tcPr>
            <w:tcW w:w="762" w:type="pct"/>
            <w:tcBorders>
              <w:top w:val="nil"/>
              <w:left w:val="nil"/>
              <w:bottom w:val="nil"/>
              <w:right w:val="nil"/>
            </w:tcBorders>
            <w:shd w:val="clear" w:color="auto" w:fill="FFFFFF"/>
            <w:noWrap/>
            <w:vAlign w:val="bottom"/>
          </w:tcPr>
          <w:p w14:paraId="6087C03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1.10%</w:t>
            </w:r>
          </w:p>
        </w:tc>
        <w:tc>
          <w:tcPr>
            <w:tcW w:w="756" w:type="pct"/>
            <w:tcBorders>
              <w:top w:val="nil"/>
              <w:left w:val="nil"/>
              <w:bottom w:val="nil"/>
              <w:right w:val="nil"/>
            </w:tcBorders>
            <w:shd w:val="clear" w:color="auto" w:fill="FFFFFF"/>
            <w:noWrap/>
            <w:vAlign w:val="bottom"/>
          </w:tcPr>
          <w:p w14:paraId="52E4DD2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1.16%</w:t>
            </w:r>
          </w:p>
        </w:tc>
        <w:tc>
          <w:tcPr>
            <w:tcW w:w="1298" w:type="pct"/>
            <w:tcBorders>
              <w:top w:val="nil"/>
              <w:left w:val="nil"/>
              <w:bottom w:val="nil"/>
              <w:right w:val="nil"/>
            </w:tcBorders>
            <w:shd w:val="clear" w:color="auto" w:fill="FFFFFF"/>
            <w:noWrap/>
          </w:tcPr>
          <w:p w14:paraId="3106358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greenmanagement</w:t>
            </w:r>
            <w:proofErr w:type="spellEnd"/>
          </w:p>
        </w:tc>
        <w:tc>
          <w:tcPr>
            <w:tcW w:w="1218" w:type="pct"/>
            <w:tcBorders>
              <w:top w:val="nil"/>
              <w:left w:val="nil"/>
              <w:bottom w:val="nil"/>
              <w:right w:val="nil"/>
            </w:tcBorders>
            <w:shd w:val="clear" w:color="auto" w:fill="FFFFFF"/>
            <w:noWrap/>
          </w:tcPr>
          <w:p w14:paraId="56416E7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RDC</w:t>
            </w:r>
          </w:p>
        </w:tc>
        <w:tc>
          <w:tcPr>
            <w:tcW w:w="963" w:type="pct"/>
            <w:tcBorders>
              <w:top w:val="nil"/>
              <w:left w:val="nil"/>
              <w:bottom w:val="nil"/>
              <w:right w:val="nil"/>
            </w:tcBorders>
            <w:shd w:val="clear" w:color="auto" w:fill="FFFFFF"/>
            <w:noWrap/>
            <w:vAlign w:val="bottom"/>
          </w:tcPr>
          <w:p w14:paraId="27388C7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1587286E" w14:textId="77777777">
        <w:trPr>
          <w:trHeight w:val="288"/>
        </w:trPr>
        <w:tc>
          <w:tcPr>
            <w:tcW w:w="762" w:type="pct"/>
            <w:tcBorders>
              <w:top w:val="nil"/>
              <w:left w:val="nil"/>
              <w:bottom w:val="nil"/>
              <w:right w:val="nil"/>
            </w:tcBorders>
            <w:shd w:val="clear" w:color="auto" w:fill="FFFFFF"/>
            <w:noWrap/>
            <w:vAlign w:val="bottom"/>
          </w:tcPr>
          <w:p w14:paraId="692EC05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6.26%</w:t>
            </w:r>
          </w:p>
        </w:tc>
        <w:tc>
          <w:tcPr>
            <w:tcW w:w="756" w:type="pct"/>
            <w:tcBorders>
              <w:top w:val="nil"/>
              <w:left w:val="nil"/>
              <w:bottom w:val="nil"/>
              <w:right w:val="nil"/>
            </w:tcBorders>
            <w:shd w:val="clear" w:color="auto" w:fill="FFFFFF"/>
            <w:noWrap/>
            <w:vAlign w:val="bottom"/>
          </w:tcPr>
          <w:p w14:paraId="4196F71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6.51%</w:t>
            </w:r>
          </w:p>
        </w:tc>
        <w:tc>
          <w:tcPr>
            <w:tcW w:w="1298" w:type="pct"/>
            <w:tcBorders>
              <w:top w:val="nil"/>
              <w:left w:val="nil"/>
              <w:bottom w:val="nil"/>
              <w:right w:val="nil"/>
            </w:tcBorders>
            <w:shd w:val="clear" w:color="auto" w:fill="FFFFFF"/>
            <w:noWrap/>
          </w:tcPr>
          <w:p w14:paraId="579233D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greentran</w:t>
            </w:r>
            <w:proofErr w:type="spellEnd"/>
          </w:p>
        </w:tc>
        <w:tc>
          <w:tcPr>
            <w:tcW w:w="1218" w:type="pct"/>
            <w:tcBorders>
              <w:top w:val="nil"/>
              <w:left w:val="nil"/>
              <w:bottom w:val="nil"/>
              <w:right w:val="nil"/>
            </w:tcBorders>
            <w:shd w:val="clear" w:color="auto" w:fill="FFFFFF"/>
            <w:noWrap/>
          </w:tcPr>
          <w:p w14:paraId="1EDC0DC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RDQ</w:t>
            </w:r>
          </w:p>
        </w:tc>
        <w:tc>
          <w:tcPr>
            <w:tcW w:w="963" w:type="pct"/>
            <w:tcBorders>
              <w:top w:val="nil"/>
              <w:left w:val="nil"/>
              <w:bottom w:val="nil"/>
              <w:right w:val="nil"/>
            </w:tcBorders>
            <w:shd w:val="clear" w:color="auto" w:fill="FFFFFF"/>
            <w:noWrap/>
            <w:vAlign w:val="bottom"/>
          </w:tcPr>
          <w:p w14:paraId="7B08A3F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7DA8424C" w14:textId="77777777">
        <w:trPr>
          <w:trHeight w:val="288"/>
        </w:trPr>
        <w:tc>
          <w:tcPr>
            <w:tcW w:w="762" w:type="pct"/>
            <w:tcBorders>
              <w:top w:val="nil"/>
              <w:left w:val="nil"/>
              <w:bottom w:val="nil"/>
              <w:right w:val="nil"/>
            </w:tcBorders>
            <w:shd w:val="clear" w:color="auto" w:fill="FFFFFF"/>
            <w:noWrap/>
            <w:vAlign w:val="bottom"/>
          </w:tcPr>
          <w:p w14:paraId="7D26B47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3.93%</w:t>
            </w:r>
          </w:p>
        </w:tc>
        <w:tc>
          <w:tcPr>
            <w:tcW w:w="756" w:type="pct"/>
            <w:tcBorders>
              <w:top w:val="nil"/>
              <w:left w:val="nil"/>
              <w:bottom w:val="nil"/>
              <w:right w:val="nil"/>
            </w:tcBorders>
            <w:shd w:val="clear" w:color="auto" w:fill="FFFFFF"/>
            <w:noWrap/>
            <w:vAlign w:val="bottom"/>
          </w:tcPr>
          <w:p w14:paraId="50E51A8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5.93%</w:t>
            </w:r>
          </w:p>
        </w:tc>
        <w:tc>
          <w:tcPr>
            <w:tcW w:w="1298" w:type="pct"/>
            <w:tcBorders>
              <w:top w:val="nil"/>
              <w:left w:val="nil"/>
              <w:bottom w:val="nil"/>
              <w:right w:val="nil"/>
            </w:tcBorders>
            <w:shd w:val="clear" w:color="auto" w:fill="FFFFFF"/>
            <w:noWrap/>
          </w:tcPr>
          <w:p w14:paraId="0037B85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erse</w:t>
            </w:r>
            <w:proofErr w:type="spellEnd"/>
          </w:p>
        </w:tc>
        <w:tc>
          <w:tcPr>
            <w:tcW w:w="1218" w:type="pct"/>
            <w:tcBorders>
              <w:top w:val="nil"/>
              <w:left w:val="nil"/>
              <w:bottom w:val="nil"/>
              <w:right w:val="nil"/>
            </w:tcBorders>
            <w:shd w:val="clear" w:color="auto" w:fill="FFFFFF"/>
            <w:noWrap/>
          </w:tcPr>
          <w:p w14:paraId="74A7886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RDC</w:t>
            </w:r>
          </w:p>
        </w:tc>
        <w:tc>
          <w:tcPr>
            <w:tcW w:w="963" w:type="pct"/>
            <w:tcBorders>
              <w:top w:val="nil"/>
              <w:left w:val="nil"/>
              <w:bottom w:val="nil"/>
              <w:right w:val="nil"/>
            </w:tcBorders>
            <w:shd w:val="clear" w:color="auto" w:fill="FFFFFF"/>
            <w:noWrap/>
            <w:vAlign w:val="bottom"/>
          </w:tcPr>
          <w:p w14:paraId="5A294E2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45D7689C" w14:textId="77777777">
        <w:trPr>
          <w:trHeight w:val="288"/>
        </w:trPr>
        <w:tc>
          <w:tcPr>
            <w:tcW w:w="762" w:type="pct"/>
            <w:tcBorders>
              <w:top w:val="nil"/>
              <w:left w:val="nil"/>
              <w:bottom w:val="nil"/>
              <w:right w:val="nil"/>
            </w:tcBorders>
            <w:shd w:val="clear" w:color="auto" w:fill="FFFFFF"/>
            <w:noWrap/>
            <w:vAlign w:val="bottom"/>
          </w:tcPr>
          <w:p w14:paraId="3B0461C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34.97%</w:t>
            </w:r>
          </w:p>
        </w:tc>
        <w:tc>
          <w:tcPr>
            <w:tcW w:w="756" w:type="pct"/>
            <w:tcBorders>
              <w:top w:val="nil"/>
              <w:left w:val="nil"/>
              <w:bottom w:val="nil"/>
              <w:right w:val="nil"/>
            </w:tcBorders>
            <w:shd w:val="clear" w:color="auto" w:fill="FFFFFF"/>
            <w:noWrap/>
            <w:vAlign w:val="bottom"/>
          </w:tcPr>
          <w:p w14:paraId="32281F6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27.95%</w:t>
            </w:r>
          </w:p>
        </w:tc>
        <w:tc>
          <w:tcPr>
            <w:tcW w:w="1298" w:type="pct"/>
            <w:tcBorders>
              <w:top w:val="nil"/>
              <w:left w:val="nil"/>
              <w:bottom w:val="nil"/>
              <w:right w:val="nil"/>
            </w:tcBorders>
            <w:shd w:val="clear" w:color="auto" w:fill="FFFFFF"/>
            <w:noWrap/>
          </w:tcPr>
          <w:p w14:paraId="4848B16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GROE</w:t>
            </w:r>
          </w:p>
        </w:tc>
        <w:tc>
          <w:tcPr>
            <w:tcW w:w="1218" w:type="pct"/>
            <w:tcBorders>
              <w:top w:val="nil"/>
              <w:left w:val="nil"/>
              <w:bottom w:val="nil"/>
              <w:right w:val="nil"/>
            </w:tcBorders>
            <w:shd w:val="clear" w:color="auto" w:fill="FFFFFF"/>
            <w:noWrap/>
          </w:tcPr>
          <w:p w14:paraId="27CA2B6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greenmanagement</w:t>
            </w:r>
            <w:proofErr w:type="spellEnd"/>
          </w:p>
        </w:tc>
        <w:tc>
          <w:tcPr>
            <w:tcW w:w="963" w:type="pct"/>
            <w:tcBorders>
              <w:top w:val="nil"/>
              <w:left w:val="nil"/>
              <w:bottom w:val="nil"/>
              <w:right w:val="nil"/>
            </w:tcBorders>
            <w:shd w:val="clear" w:color="auto" w:fill="FFFFFF"/>
            <w:noWrap/>
            <w:vAlign w:val="bottom"/>
          </w:tcPr>
          <w:p w14:paraId="11F02C1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6C01386E" w14:textId="77777777">
        <w:trPr>
          <w:trHeight w:val="288"/>
        </w:trPr>
        <w:tc>
          <w:tcPr>
            <w:tcW w:w="762" w:type="pct"/>
            <w:tcBorders>
              <w:top w:val="nil"/>
              <w:left w:val="nil"/>
              <w:bottom w:val="nil"/>
              <w:right w:val="nil"/>
            </w:tcBorders>
            <w:shd w:val="clear" w:color="auto" w:fill="FFFFFF"/>
            <w:noWrap/>
            <w:vAlign w:val="bottom"/>
          </w:tcPr>
          <w:p w14:paraId="73D4F9B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17.03%</w:t>
            </w:r>
          </w:p>
        </w:tc>
        <w:tc>
          <w:tcPr>
            <w:tcW w:w="756" w:type="pct"/>
            <w:tcBorders>
              <w:top w:val="nil"/>
              <w:left w:val="nil"/>
              <w:bottom w:val="nil"/>
              <w:right w:val="nil"/>
            </w:tcBorders>
            <w:shd w:val="clear" w:color="auto" w:fill="FFFFFF"/>
            <w:noWrap/>
            <w:vAlign w:val="bottom"/>
          </w:tcPr>
          <w:p w14:paraId="4C7DDC6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8.75%</w:t>
            </w:r>
          </w:p>
        </w:tc>
        <w:tc>
          <w:tcPr>
            <w:tcW w:w="1298" w:type="pct"/>
            <w:tcBorders>
              <w:top w:val="nil"/>
              <w:left w:val="nil"/>
              <w:bottom w:val="nil"/>
              <w:right w:val="nil"/>
            </w:tcBorders>
            <w:shd w:val="clear" w:color="auto" w:fill="FFFFFF"/>
            <w:noWrap/>
          </w:tcPr>
          <w:p w14:paraId="137CD79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GPF</w:t>
            </w:r>
          </w:p>
        </w:tc>
        <w:tc>
          <w:tcPr>
            <w:tcW w:w="1218" w:type="pct"/>
            <w:tcBorders>
              <w:top w:val="nil"/>
              <w:left w:val="nil"/>
              <w:bottom w:val="nil"/>
              <w:right w:val="nil"/>
            </w:tcBorders>
            <w:shd w:val="clear" w:color="auto" w:fill="FFFFFF"/>
            <w:noWrap/>
          </w:tcPr>
          <w:p w14:paraId="3767D84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greenmanagement</w:t>
            </w:r>
            <w:proofErr w:type="spellEnd"/>
          </w:p>
        </w:tc>
        <w:tc>
          <w:tcPr>
            <w:tcW w:w="963" w:type="pct"/>
            <w:tcBorders>
              <w:top w:val="nil"/>
              <w:left w:val="nil"/>
              <w:bottom w:val="nil"/>
              <w:right w:val="nil"/>
            </w:tcBorders>
            <w:shd w:val="clear" w:color="auto" w:fill="FFFFFF"/>
            <w:noWrap/>
            <w:vAlign w:val="bottom"/>
          </w:tcPr>
          <w:p w14:paraId="25E20C5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669AF302" w14:textId="77777777">
        <w:trPr>
          <w:trHeight w:val="288"/>
        </w:trPr>
        <w:tc>
          <w:tcPr>
            <w:tcW w:w="762" w:type="pct"/>
            <w:tcBorders>
              <w:top w:val="nil"/>
              <w:left w:val="nil"/>
              <w:bottom w:val="nil"/>
              <w:right w:val="nil"/>
            </w:tcBorders>
            <w:shd w:val="clear" w:color="auto" w:fill="FFFFFF"/>
            <w:noWrap/>
            <w:vAlign w:val="bottom"/>
          </w:tcPr>
          <w:p w14:paraId="05DEBC5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2.33%</w:t>
            </w:r>
          </w:p>
        </w:tc>
        <w:tc>
          <w:tcPr>
            <w:tcW w:w="756" w:type="pct"/>
            <w:tcBorders>
              <w:top w:val="nil"/>
              <w:left w:val="nil"/>
              <w:bottom w:val="nil"/>
              <w:right w:val="nil"/>
            </w:tcBorders>
            <w:shd w:val="clear" w:color="auto" w:fill="FFFFFF"/>
            <w:noWrap/>
            <w:vAlign w:val="bottom"/>
          </w:tcPr>
          <w:p w14:paraId="4CEC0A2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2.93%</w:t>
            </w:r>
          </w:p>
        </w:tc>
        <w:tc>
          <w:tcPr>
            <w:tcW w:w="1298" w:type="pct"/>
            <w:tcBorders>
              <w:top w:val="nil"/>
              <w:left w:val="nil"/>
              <w:bottom w:val="nil"/>
              <w:right w:val="nil"/>
            </w:tcBorders>
            <w:shd w:val="clear" w:color="auto" w:fill="FFFFFF"/>
            <w:noWrap/>
          </w:tcPr>
          <w:p w14:paraId="164D7A7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GNFO</w:t>
            </w:r>
          </w:p>
        </w:tc>
        <w:tc>
          <w:tcPr>
            <w:tcW w:w="1218" w:type="pct"/>
            <w:tcBorders>
              <w:top w:val="nil"/>
              <w:left w:val="nil"/>
              <w:bottom w:val="nil"/>
              <w:right w:val="nil"/>
            </w:tcBorders>
            <w:shd w:val="clear" w:color="auto" w:fill="FFFFFF"/>
            <w:noWrap/>
          </w:tcPr>
          <w:p w14:paraId="3560F9D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greeninvest</w:t>
            </w:r>
            <w:proofErr w:type="spellEnd"/>
          </w:p>
        </w:tc>
        <w:tc>
          <w:tcPr>
            <w:tcW w:w="963" w:type="pct"/>
            <w:tcBorders>
              <w:top w:val="nil"/>
              <w:left w:val="nil"/>
              <w:bottom w:val="nil"/>
              <w:right w:val="nil"/>
            </w:tcBorders>
            <w:shd w:val="clear" w:color="auto" w:fill="FFFFFF"/>
            <w:noWrap/>
            <w:vAlign w:val="bottom"/>
          </w:tcPr>
          <w:p w14:paraId="645D33D9"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0258E89E" w14:textId="77777777">
        <w:trPr>
          <w:trHeight w:val="288"/>
        </w:trPr>
        <w:tc>
          <w:tcPr>
            <w:tcW w:w="762" w:type="pct"/>
            <w:tcBorders>
              <w:top w:val="nil"/>
              <w:left w:val="nil"/>
              <w:bottom w:val="nil"/>
              <w:right w:val="nil"/>
            </w:tcBorders>
            <w:shd w:val="clear" w:color="auto" w:fill="FFFFFF"/>
            <w:noWrap/>
            <w:vAlign w:val="bottom"/>
          </w:tcPr>
          <w:p w14:paraId="6169722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3.49%</w:t>
            </w:r>
          </w:p>
        </w:tc>
        <w:tc>
          <w:tcPr>
            <w:tcW w:w="756" w:type="pct"/>
            <w:tcBorders>
              <w:top w:val="nil"/>
              <w:left w:val="nil"/>
              <w:bottom w:val="nil"/>
              <w:right w:val="nil"/>
            </w:tcBorders>
            <w:shd w:val="clear" w:color="auto" w:fill="FFFFFF"/>
            <w:noWrap/>
            <w:vAlign w:val="bottom"/>
          </w:tcPr>
          <w:p w14:paraId="254C7D7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4.55%</w:t>
            </w:r>
          </w:p>
        </w:tc>
        <w:tc>
          <w:tcPr>
            <w:tcW w:w="1298" w:type="pct"/>
            <w:tcBorders>
              <w:top w:val="nil"/>
              <w:left w:val="nil"/>
              <w:bottom w:val="nil"/>
              <w:right w:val="nil"/>
            </w:tcBorders>
            <w:shd w:val="clear" w:color="auto" w:fill="FFFFFF"/>
            <w:noWrap/>
          </w:tcPr>
          <w:p w14:paraId="0275DC0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OT</w:t>
            </w:r>
          </w:p>
        </w:tc>
        <w:tc>
          <w:tcPr>
            <w:tcW w:w="1218" w:type="pct"/>
            <w:tcBorders>
              <w:top w:val="nil"/>
              <w:left w:val="nil"/>
              <w:bottom w:val="nil"/>
              <w:right w:val="nil"/>
            </w:tcBorders>
            <w:shd w:val="clear" w:color="auto" w:fill="FFFFFF"/>
            <w:noWrap/>
          </w:tcPr>
          <w:p w14:paraId="7E87C3C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963" w:type="pct"/>
            <w:tcBorders>
              <w:top w:val="nil"/>
              <w:left w:val="nil"/>
              <w:bottom w:val="nil"/>
              <w:right w:val="nil"/>
            </w:tcBorders>
            <w:shd w:val="clear" w:color="auto" w:fill="FFFFFF"/>
            <w:noWrap/>
            <w:vAlign w:val="bottom"/>
          </w:tcPr>
          <w:p w14:paraId="396F6A9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5D5FC45F" w14:textId="77777777">
        <w:trPr>
          <w:trHeight w:val="288"/>
        </w:trPr>
        <w:tc>
          <w:tcPr>
            <w:tcW w:w="762" w:type="pct"/>
            <w:tcBorders>
              <w:top w:val="nil"/>
              <w:left w:val="nil"/>
              <w:bottom w:val="nil"/>
              <w:right w:val="nil"/>
            </w:tcBorders>
            <w:shd w:val="clear" w:color="auto" w:fill="FFFFFF"/>
            <w:noWrap/>
            <w:vAlign w:val="bottom"/>
          </w:tcPr>
          <w:p w14:paraId="27E0ACF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4.83%</w:t>
            </w:r>
          </w:p>
        </w:tc>
        <w:tc>
          <w:tcPr>
            <w:tcW w:w="756" w:type="pct"/>
            <w:tcBorders>
              <w:top w:val="nil"/>
              <w:left w:val="nil"/>
              <w:bottom w:val="nil"/>
              <w:right w:val="nil"/>
            </w:tcBorders>
            <w:shd w:val="clear" w:color="auto" w:fill="FFFFFF"/>
            <w:noWrap/>
            <w:vAlign w:val="bottom"/>
          </w:tcPr>
          <w:p w14:paraId="715983E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6.66%</w:t>
            </w:r>
          </w:p>
        </w:tc>
        <w:tc>
          <w:tcPr>
            <w:tcW w:w="1298" w:type="pct"/>
            <w:tcBorders>
              <w:top w:val="nil"/>
              <w:left w:val="nil"/>
              <w:bottom w:val="nil"/>
              <w:right w:val="nil"/>
            </w:tcBorders>
            <w:shd w:val="clear" w:color="auto" w:fill="FFFFFF"/>
            <w:noWrap/>
          </w:tcPr>
          <w:p w14:paraId="12275BB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LT</w:t>
            </w:r>
          </w:p>
        </w:tc>
        <w:tc>
          <w:tcPr>
            <w:tcW w:w="1218" w:type="pct"/>
            <w:tcBorders>
              <w:top w:val="nil"/>
              <w:left w:val="nil"/>
              <w:bottom w:val="nil"/>
              <w:right w:val="nil"/>
            </w:tcBorders>
            <w:shd w:val="clear" w:color="auto" w:fill="FFFFFF"/>
            <w:noWrap/>
          </w:tcPr>
          <w:p w14:paraId="0AF73B8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963" w:type="pct"/>
            <w:tcBorders>
              <w:top w:val="nil"/>
              <w:left w:val="nil"/>
              <w:bottom w:val="nil"/>
              <w:right w:val="nil"/>
            </w:tcBorders>
            <w:shd w:val="clear" w:color="auto" w:fill="FFFFFF"/>
            <w:noWrap/>
            <w:vAlign w:val="bottom"/>
          </w:tcPr>
          <w:p w14:paraId="49B26F2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1D3B2FED" w14:textId="77777777">
        <w:trPr>
          <w:trHeight w:val="288"/>
        </w:trPr>
        <w:tc>
          <w:tcPr>
            <w:tcW w:w="762" w:type="pct"/>
            <w:tcBorders>
              <w:top w:val="nil"/>
              <w:left w:val="nil"/>
              <w:bottom w:val="nil"/>
              <w:right w:val="nil"/>
            </w:tcBorders>
            <w:shd w:val="clear" w:color="auto" w:fill="FFFFFF"/>
            <w:noWrap/>
            <w:vAlign w:val="bottom"/>
          </w:tcPr>
          <w:p w14:paraId="3DFD651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4.57%</w:t>
            </w:r>
          </w:p>
        </w:tc>
        <w:tc>
          <w:tcPr>
            <w:tcW w:w="756" w:type="pct"/>
            <w:tcBorders>
              <w:top w:val="nil"/>
              <w:left w:val="nil"/>
              <w:bottom w:val="nil"/>
              <w:right w:val="nil"/>
            </w:tcBorders>
            <w:shd w:val="clear" w:color="auto" w:fill="FFFFFF"/>
            <w:noWrap/>
            <w:vAlign w:val="bottom"/>
          </w:tcPr>
          <w:p w14:paraId="3D1C623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7.12%</w:t>
            </w:r>
          </w:p>
        </w:tc>
        <w:tc>
          <w:tcPr>
            <w:tcW w:w="1298" w:type="pct"/>
            <w:tcBorders>
              <w:top w:val="nil"/>
              <w:left w:val="nil"/>
              <w:bottom w:val="nil"/>
              <w:right w:val="nil"/>
            </w:tcBorders>
            <w:shd w:val="clear" w:color="auto" w:fill="FFFFFF"/>
            <w:noWrap/>
          </w:tcPr>
          <w:p w14:paraId="04F00A8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1218" w:type="pct"/>
            <w:tcBorders>
              <w:top w:val="nil"/>
              <w:left w:val="nil"/>
              <w:bottom w:val="nil"/>
              <w:right w:val="nil"/>
            </w:tcBorders>
            <w:shd w:val="clear" w:color="auto" w:fill="FFFFFF"/>
            <w:noWrap/>
          </w:tcPr>
          <w:p w14:paraId="07CFD7C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greeninvest</w:t>
            </w:r>
            <w:proofErr w:type="spellEnd"/>
          </w:p>
        </w:tc>
        <w:tc>
          <w:tcPr>
            <w:tcW w:w="963" w:type="pct"/>
            <w:tcBorders>
              <w:top w:val="nil"/>
              <w:left w:val="nil"/>
              <w:bottom w:val="nil"/>
              <w:right w:val="nil"/>
            </w:tcBorders>
            <w:shd w:val="clear" w:color="auto" w:fill="FFFFFF"/>
            <w:noWrap/>
            <w:vAlign w:val="bottom"/>
          </w:tcPr>
          <w:p w14:paraId="4B948EE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3AF6430F" w14:textId="77777777">
        <w:trPr>
          <w:trHeight w:val="288"/>
        </w:trPr>
        <w:tc>
          <w:tcPr>
            <w:tcW w:w="762" w:type="pct"/>
            <w:tcBorders>
              <w:top w:val="nil"/>
              <w:left w:val="nil"/>
              <w:bottom w:val="nil"/>
              <w:right w:val="nil"/>
            </w:tcBorders>
            <w:shd w:val="clear" w:color="auto" w:fill="FFFFFF"/>
            <w:noWrap/>
            <w:vAlign w:val="bottom"/>
          </w:tcPr>
          <w:p w14:paraId="02AA622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0.65%</w:t>
            </w:r>
          </w:p>
        </w:tc>
        <w:tc>
          <w:tcPr>
            <w:tcW w:w="756" w:type="pct"/>
            <w:tcBorders>
              <w:top w:val="nil"/>
              <w:left w:val="nil"/>
              <w:bottom w:val="nil"/>
              <w:right w:val="nil"/>
            </w:tcBorders>
            <w:shd w:val="clear" w:color="auto" w:fill="FFFFFF"/>
            <w:noWrap/>
            <w:vAlign w:val="bottom"/>
          </w:tcPr>
          <w:p w14:paraId="5D85325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0.73%</w:t>
            </w:r>
          </w:p>
        </w:tc>
        <w:tc>
          <w:tcPr>
            <w:tcW w:w="1298" w:type="pct"/>
            <w:tcBorders>
              <w:top w:val="nil"/>
              <w:left w:val="nil"/>
              <w:bottom w:val="nil"/>
              <w:right w:val="nil"/>
            </w:tcBorders>
            <w:shd w:val="clear" w:color="auto" w:fill="FFFFFF"/>
            <w:noWrap/>
          </w:tcPr>
          <w:p w14:paraId="59E8ECD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RDC</w:t>
            </w:r>
          </w:p>
        </w:tc>
        <w:tc>
          <w:tcPr>
            <w:tcW w:w="1218" w:type="pct"/>
            <w:tcBorders>
              <w:top w:val="nil"/>
              <w:left w:val="nil"/>
              <w:bottom w:val="nil"/>
              <w:right w:val="nil"/>
            </w:tcBorders>
            <w:shd w:val="clear" w:color="auto" w:fill="FFFFFF"/>
            <w:noWrap/>
          </w:tcPr>
          <w:p w14:paraId="57D34F5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erse</w:t>
            </w:r>
            <w:proofErr w:type="spellEnd"/>
          </w:p>
        </w:tc>
        <w:tc>
          <w:tcPr>
            <w:tcW w:w="963" w:type="pct"/>
            <w:tcBorders>
              <w:top w:val="nil"/>
              <w:left w:val="nil"/>
              <w:bottom w:val="nil"/>
              <w:right w:val="nil"/>
            </w:tcBorders>
            <w:shd w:val="clear" w:color="auto" w:fill="FFFFFF"/>
            <w:noWrap/>
            <w:vAlign w:val="bottom"/>
          </w:tcPr>
          <w:p w14:paraId="6097CF3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4936B678" w14:textId="77777777">
        <w:trPr>
          <w:trHeight w:val="288"/>
        </w:trPr>
        <w:tc>
          <w:tcPr>
            <w:tcW w:w="762" w:type="pct"/>
            <w:tcBorders>
              <w:top w:val="nil"/>
              <w:left w:val="nil"/>
              <w:bottom w:val="nil"/>
              <w:right w:val="nil"/>
            </w:tcBorders>
            <w:shd w:val="clear" w:color="auto" w:fill="FFFFFF"/>
            <w:noWrap/>
            <w:vAlign w:val="bottom"/>
          </w:tcPr>
          <w:p w14:paraId="14775F8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1.72%</w:t>
            </w:r>
          </w:p>
        </w:tc>
        <w:tc>
          <w:tcPr>
            <w:tcW w:w="756" w:type="pct"/>
            <w:tcBorders>
              <w:top w:val="nil"/>
              <w:left w:val="nil"/>
              <w:bottom w:val="nil"/>
              <w:right w:val="nil"/>
            </w:tcBorders>
            <w:shd w:val="clear" w:color="auto" w:fill="FFFFFF"/>
            <w:noWrap/>
            <w:vAlign w:val="bottom"/>
          </w:tcPr>
          <w:p w14:paraId="4297B586"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2.26%</w:t>
            </w:r>
          </w:p>
        </w:tc>
        <w:tc>
          <w:tcPr>
            <w:tcW w:w="1298" w:type="pct"/>
            <w:tcBorders>
              <w:top w:val="nil"/>
              <w:left w:val="nil"/>
              <w:bottom w:val="nil"/>
              <w:right w:val="nil"/>
            </w:tcBorders>
            <w:shd w:val="clear" w:color="auto" w:fill="FFFFFF"/>
            <w:noWrap/>
          </w:tcPr>
          <w:p w14:paraId="511BB17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RDQ</w:t>
            </w:r>
          </w:p>
        </w:tc>
        <w:tc>
          <w:tcPr>
            <w:tcW w:w="1218" w:type="pct"/>
            <w:tcBorders>
              <w:top w:val="nil"/>
              <w:left w:val="nil"/>
              <w:bottom w:val="nil"/>
              <w:right w:val="nil"/>
            </w:tcBorders>
            <w:shd w:val="clear" w:color="auto" w:fill="FFFFFF"/>
            <w:noWrap/>
          </w:tcPr>
          <w:p w14:paraId="2E740FA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greentran</w:t>
            </w:r>
            <w:proofErr w:type="spellEnd"/>
          </w:p>
        </w:tc>
        <w:tc>
          <w:tcPr>
            <w:tcW w:w="963" w:type="pct"/>
            <w:tcBorders>
              <w:top w:val="nil"/>
              <w:left w:val="nil"/>
              <w:bottom w:val="nil"/>
              <w:right w:val="nil"/>
            </w:tcBorders>
            <w:shd w:val="clear" w:color="auto" w:fill="FFFFFF"/>
            <w:noWrap/>
            <w:vAlign w:val="bottom"/>
          </w:tcPr>
          <w:p w14:paraId="35884E75"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28A3C4FB" w14:textId="77777777">
        <w:trPr>
          <w:trHeight w:val="288"/>
        </w:trPr>
        <w:tc>
          <w:tcPr>
            <w:tcW w:w="762" w:type="pct"/>
            <w:tcBorders>
              <w:top w:val="nil"/>
              <w:left w:val="nil"/>
              <w:bottom w:val="nil"/>
              <w:right w:val="nil"/>
            </w:tcBorders>
            <w:shd w:val="clear" w:color="auto" w:fill="FFFFFF"/>
            <w:noWrap/>
            <w:vAlign w:val="bottom"/>
          </w:tcPr>
          <w:p w14:paraId="5302FCD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4.42%</w:t>
            </w:r>
          </w:p>
        </w:tc>
        <w:tc>
          <w:tcPr>
            <w:tcW w:w="756" w:type="pct"/>
            <w:tcBorders>
              <w:top w:val="nil"/>
              <w:left w:val="nil"/>
              <w:bottom w:val="nil"/>
              <w:right w:val="nil"/>
            </w:tcBorders>
            <w:shd w:val="clear" w:color="auto" w:fill="FFFFFF"/>
            <w:noWrap/>
            <w:vAlign w:val="bottom"/>
          </w:tcPr>
          <w:p w14:paraId="34ABEAB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6.46%</w:t>
            </w:r>
          </w:p>
        </w:tc>
        <w:tc>
          <w:tcPr>
            <w:tcW w:w="1298" w:type="pct"/>
            <w:tcBorders>
              <w:top w:val="nil"/>
              <w:left w:val="nil"/>
              <w:bottom w:val="nil"/>
              <w:right w:val="nil"/>
            </w:tcBorders>
            <w:shd w:val="clear" w:color="auto" w:fill="FFFFFF"/>
            <w:noWrap/>
          </w:tcPr>
          <w:p w14:paraId="4257C04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CENSU</w:t>
            </w:r>
          </w:p>
        </w:tc>
        <w:tc>
          <w:tcPr>
            <w:tcW w:w="1218" w:type="pct"/>
            <w:tcBorders>
              <w:top w:val="nil"/>
              <w:left w:val="nil"/>
              <w:bottom w:val="nil"/>
              <w:right w:val="nil"/>
            </w:tcBorders>
            <w:shd w:val="clear" w:color="auto" w:fill="FFFFFF"/>
            <w:noWrap/>
          </w:tcPr>
          <w:p w14:paraId="3B772E5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RDC</w:t>
            </w:r>
          </w:p>
        </w:tc>
        <w:tc>
          <w:tcPr>
            <w:tcW w:w="963" w:type="pct"/>
            <w:tcBorders>
              <w:top w:val="nil"/>
              <w:left w:val="nil"/>
              <w:bottom w:val="nil"/>
              <w:right w:val="nil"/>
            </w:tcBorders>
            <w:shd w:val="clear" w:color="auto" w:fill="FFFFFF"/>
            <w:noWrap/>
            <w:vAlign w:val="bottom"/>
          </w:tcPr>
          <w:p w14:paraId="6638B5C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3D704DAB" w14:textId="77777777">
        <w:trPr>
          <w:trHeight w:val="288"/>
        </w:trPr>
        <w:tc>
          <w:tcPr>
            <w:tcW w:w="762" w:type="pct"/>
            <w:tcBorders>
              <w:top w:val="nil"/>
              <w:left w:val="nil"/>
              <w:bottom w:val="nil"/>
              <w:right w:val="nil"/>
            </w:tcBorders>
            <w:shd w:val="clear" w:color="auto" w:fill="FFFFFF"/>
            <w:noWrap/>
            <w:vAlign w:val="bottom"/>
          </w:tcPr>
          <w:p w14:paraId="2DC8918C"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1.49%</w:t>
            </w:r>
          </w:p>
        </w:tc>
        <w:tc>
          <w:tcPr>
            <w:tcW w:w="756" w:type="pct"/>
            <w:tcBorders>
              <w:top w:val="nil"/>
              <w:left w:val="nil"/>
              <w:bottom w:val="nil"/>
              <w:right w:val="nil"/>
            </w:tcBorders>
            <w:shd w:val="clear" w:color="auto" w:fill="FFFFFF"/>
            <w:noWrap/>
            <w:vAlign w:val="bottom"/>
          </w:tcPr>
          <w:p w14:paraId="028482D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0.67%</w:t>
            </w:r>
          </w:p>
        </w:tc>
        <w:tc>
          <w:tcPr>
            <w:tcW w:w="1298" w:type="pct"/>
            <w:tcBorders>
              <w:top w:val="nil"/>
              <w:left w:val="nil"/>
              <w:bottom w:val="nil"/>
              <w:right w:val="nil"/>
            </w:tcBorders>
            <w:shd w:val="clear" w:color="auto" w:fill="FFFFFF"/>
            <w:noWrap/>
          </w:tcPr>
          <w:p w14:paraId="309B9FC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SUC</w:t>
            </w:r>
          </w:p>
        </w:tc>
        <w:tc>
          <w:tcPr>
            <w:tcW w:w="1218" w:type="pct"/>
            <w:tcBorders>
              <w:top w:val="nil"/>
              <w:left w:val="nil"/>
              <w:bottom w:val="nil"/>
              <w:right w:val="nil"/>
            </w:tcBorders>
            <w:shd w:val="clear" w:color="auto" w:fill="FFFFFF"/>
            <w:noWrap/>
          </w:tcPr>
          <w:p w14:paraId="5D4CBDC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proofErr w:type="spellStart"/>
            <w:r>
              <w:rPr>
                <w:rFonts w:ascii="Palatino Linotype" w:eastAsia="Times New Roman" w:hAnsi="Palatino Linotype" w:cs="Times New Roman"/>
                <w:snapToGrid w:val="0"/>
                <w:color w:val="000000"/>
                <w:kern w:val="0"/>
                <w:sz w:val="20"/>
                <w:szCs w:val="21"/>
                <w:lang w:bidi="en-US"/>
              </w:rPr>
              <w:t>greentran</w:t>
            </w:r>
            <w:proofErr w:type="spellEnd"/>
          </w:p>
        </w:tc>
        <w:tc>
          <w:tcPr>
            <w:tcW w:w="963" w:type="pct"/>
            <w:tcBorders>
              <w:top w:val="nil"/>
              <w:left w:val="nil"/>
              <w:bottom w:val="nil"/>
              <w:right w:val="nil"/>
            </w:tcBorders>
            <w:shd w:val="clear" w:color="auto" w:fill="FFFFFF"/>
            <w:noWrap/>
            <w:vAlign w:val="bottom"/>
          </w:tcPr>
          <w:p w14:paraId="64196624"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732FFCBD" w14:textId="77777777">
        <w:trPr>
          <w:trHeight w:val="288"/>
        </w:trPr>
        <w:tc>
          <w:tcPr>
            <w:tcW w:w="762" w:type="pct"/>
            <w:tcBorders>
              <w:top w:val="nil"/>
              <w:left w:val="nil"/>
              <w:bottom w:val="nil"/>
              <w:right w:val="nil"/>
            </w:tcBorders>
            <w:shd w:val="clear" w:color="auto" w:fill="FFFFFF"/>
            <w:noWrap/>
            <w:vAlign w:val="bottom"/>
          </w:tcPr>
          <w:p w14:paraId="186063C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2.97%</w:t>
            </w:r>
          </w:p>
        </w:tc>
        <w:tc>
          <w:tcPr>
            <w:tcW w:w="756" w:type="pct"/>
            <w:tcBorders>
              <w:top w:val="nil"/>
              <w:left w:val="nil"/>
              <w:bottom w:val="nil"/>
              <w:right w:val="nil"/>
            </w:tcBorders>
            <w:shd w:val="clear" w:color="auto" w:fill="FFFFFF"/>
            <w:noWrap/>
            <w:vAlign w:val="bottom"/>
          </w:tcPr>
          <w:p w14:paraId="44DF934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5.46%</w:t>
            </w:r>
          </w:p>
        </w:tc>
        <w:tc>
          <w:tcPr>
            <w:tcW w:w="1298" w:type="pct"/>
            <w:tcBorders>
              <w:top w:val="nil"/>
              <w:left w:val="nil"/>
              <w:bottom w:val="nil"/>
              <w:right w:val="nil"/>
            </w:tcBorders>
            <w:shd w:val="clear" w:color="auto" w:fill="FFFFFF"/>
            <w:noWrap/>
          </w:tcPr>
          <w:p w14:paraId="50227638"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APT</w:t>
            </w:r>
          </w:p>
        </w:tc>
        <w:tc>
          <w:tcPr>
            <w:tcW w:w="1218" w:type="pct"/>
            <w:tcBorders>
              <w:top w:val="nil"/>
              <w:left w:val="nil"/>
              <w:bottom w:val="nil"/>
              <w:right w:val="nil"/>
            </w:tcBorders>
            <w:shd w:val="clear" w:color="auto" w:fill="FFFFFF"/>
            <w:noWrap/>
          </w:tcPr>
          <w:p w14:paraId="551E113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RDP</w:t>
            </w:r>
          </w:p>
        </w:tc>
        <w:tc>
          <w:tcPr>
            <w:tcW w:w="963" w:type="pct"/>
            <w:tcBorders>
              <w:top w:val="nil"/>
              <w:left w:val="nil"/>
              <w:bottom w:val="nil"/>
              <w:right w:val="nil"/>
            </w:tcBorders>
            <w:shd w:val="clear" w:color="auto" w:fill="FFFFFF"/>
            <w:noWrap/>
            <w:vAlign w:val="bottom"/>
          </w:tcPr>
          <w:p w14:paraId="7D885BA0"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r w:rsidR="00624AAA" w14:paraId="21B21C90" w14:textId="77777777">
        <w:trPr>
          <w:trHeight w:val="288"/>
        </w:trPr>
        <w:tc>
          <w:tcPr>
            <w:tcW w:w="762" w:type="pct"/>
            <w:tcBorders>
              <w:top w:val="nil"/>
              <w:left w:val="nil"/>
              <w:bottom w:val="single" w:sz="12" w:space="0" w:color="000000"/>
              <w:right w:val="nil"/>
            </w:tcBorders>
            <w:shd w:val="clear" w:color="auto" w:fill="FFFFFF"/>
            <w:noWrap/>
            <w:vAlign w:val="bottom"/>
          </w:tcPr>
          <w:p w14:paraId="12FFC2FE"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4.47%</w:t>
            </w:r>
          </w:p>
        </w:tc>
        <w:tc>
          <w:tcPr>
            <w:tcW w:w="756" w:type="pct"/>
            <w:tcBorders>
              <w:top w:val="nil"/>
              <w:left w:val="nil"/>
              <w:bottom w:val="single" w:sz="12" w:space="0" w:color="000000"/>
              <w:right w:val="nil"/>
            </w:tcBorders>
            <w:shd w:val="clear" w:color="auto" w:fill="FFFFFF"/>
            <w:noWrap/>
            <w:vAlign w:val="bottom"/>
          </w:tcPr>
          <w:p w14:paraId="78E84623"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5.48%</w:t>
            </w:r>
          </w:p>
        </w:tc>
        <w:tc>
          <w:tcPr>
            <w:tcW w:w="1298" w:type="pct"/>
            <w:tcBorders>
              <w:top w:val="nil"/>
              <w:left w:val="nil"/>
              <w:bottom w:val="single" w:sz="12" w:space="0" w:color="000000"/>
              <w:right w:val="nil"/>
            </w:tcBorders>
            <w:shd w:val="clear" w:color="auto" w:fill="FFFFFF"/>
            <w:noWrap/>
          </w:tcPr>
          <w:p w14:paraId="01D7B1F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ART</w:t>
            </w:r>
          </w:p>
        </w:tc>
        <w:tc>
          <w:tcPr>
            <w:tcW w:w="1218" w:type="pct"/>
            <w:tcBorders>
              <w:top w:val="nil"/>
              <w:left w:val="nil"/>
              <w:bottom w:val="single" w:sz="12" w:space="0" w:color="000000"/>
              <w:right w:val="nil"/>
            </w:tcBorders>
            <w:shd w:val="clear" w:color="auto" w:fill="FFFFFF"/>
            <w:noWrap/>
          </w:tcPr>
          <w:p w14:paraId="4AD21C87"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LT</w:t>
            </w:r>
          </w:p>
        </w:tc>
        <w:tc>
          <w:tcPr>
            <w:tcW w:w="963" w:type="pct"/>
            <w:tcBorders>
              <w:top w:val="nil"/>
              <w:left w:val="nil"/>
              <w:bottom w:val="single" w:sz="12" w:space="0" w:color="000000"/>
              <w:right w:val="nil"/>
            </w:tcBorders>
            <w:shd w:val="clear" w:color="auto" w:fill="FFFFFF"/>
            <w:noWrap/>
            <w:vAlign w:val="bottom"/>
          </w:tcPr>
          <w:p w14:paraId="799D46CD"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w:t>
            </w:r>
          </w:p>
        </w:tc>
      </w:tr>
    </w:tbl>
    <w:p w14:paraId="48FE7DFA" w14:textId="77777777" w:rsidR="00624AAA" w:rsidRDefault="00C46345">
      <w:r>
        <w:t>(Source: Own elaboration based on the main context of the paper).</w:t>
      </w:r>
    </w:p>
    <w:p w14:paraId="6633CC77" w14:textId="77777777" w:rsidR="00624AAA" w:rsidRDefault="00C46345">
      <w:pPr>
        <w:pStyle w:val="MDPI21heading1"/>
        <w:ind w:left="0"/>
        <w:rPr>
          <w:lang w:eastAsia="zh-CN"/>
        </w:rPr>
      </w:pPr>
      <w:r>
        <w:rPr>
          <w:rFonts w:hint="eastAsia"/>
          <w:lang w:eastAsia="zh-CN"/>
        </w:rPr>
        <w:t>6 Conclusions and Implications</w:t>
      </w:r>
    </w:p>
    <w:p w14:paraId="6C37D99A" w14:textId="77777777" w:rsidR="00624AAA" w:rsidRDefault="00C46345">
      <w:pPr>
        <w:pStyle w:val="MDPI22heading2"/>
        <w:spacing w:before="240"/>
        <w:ind w:left="0"/>
        <w:rPr>
          <w:lang w:eastAsia="zh-CN"/>
        </w:rPr>
      </w:pPr>
      <w:r>
        <w:rPr>
          <w:rFonts w:hint="eastAsia"/>
          <w:lang w:eastAsia="zh-CN"/>
        </w:rPr>
        <w:t>6.1 Research Conclusions</w:t>
      </w:r>
    </w:p>
    <w:p w14:paraId="35A3EA1F"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 xml:space="preserve">This study utilizes the data of Chinese </w:t>
      </w:r>
      <w:r>
        <w:rPr>
          <w:rFonts w:ascii="Palatino Linotype" w:eastAsia="Times New Roman" w:hAnsi="Palatino Linotype" w:cs="Times New Roman"/>
          <w:snapToGrid w:val="0"/>
          <w:color w:val="000000"/>
          <w:kern w:val="0"/>
          <w:sz w:val="20"/>
          <w:szCs w:val="21"/>
          <w:lang w:bidi="en-US"/>
        </w:rPr>
        <w:t>A-share listed companies from 2010 to 2022 to construct a high-dimensional predictive model employing advanced machine learning ensemble algorithms. The purpose is to investigate predictive effects, specifically the extent to which financial performance, g</w:t>
      </w:r>
      <w:r>
        <w:rPr>
          <w:rFonts w:ascii="Palatino Linotype" w:eastAsia="Times New Roman" w:hAnsi="Palatino Linotype" w:cs="Times New Roman"/>
          <w:snapToGrid w:val="0"/>
          <w:color w:val="000000"/>
          <w:kern w:val="0"/>
          <w:sz w:val="20"/>
          <w:szCs w:val="21"/>
          <w:lang w:bidi="en-US"/>
        </w:rPr>
        <w:t>reen development, investment in R&amp;D, and supply chain management capacity can predict sustainable development level for enterprises. The findings suggest that multidimensional characteristics can predict sustainable development for corporations effectively</w:t>
      </w:r>
      <w:r>
        <w:rPr>
          <w:rFonts w:ascii="Palatino Linotype" w:eastAsia="Times New Roman" w:hAnsi="Palatino Linotype" w:cs="Times New Roman"/>
          <w:snapToGrid w:val="0"/>
          <w:color w:val="000000"/>
          <w:kern w:val="0"/>
          <w:sz w:val="20"/>
          <w:szCs w:val="21"/>
          <w:lang w:bidi="en-US"/>
        </w:rPr>
        <w:t>; however, predictive effects varied considerably in magnitude.</w:t>
      </w:r>
    </w:p>
    <w:p w14:paraId="6C5986CB"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Overall, the most influential factors are the growth rate of return on equity, profit growth rate, green investment ratio, green transformation, R&amp;D investment ratio, current asset turnover ra</w:t>
      </w:r>
      <w:r>
        <w:rPr>
          <w:rFonts w:ascii="Palatino Linotype" w:eastAsia="Times New Roman" w:hAnsi="Palatino Linotype" w:cs="Times New Roman"/>
          <w:snapToGrid w:val="0"/>
          <w:color w:val="000000"/>
          <w:kern w:val="0"/>
          <w:sz w:val="20"/>
          <w:szCs w:val="21"/>
          <w:lang w:bidi="en-US"/>
        </w:rPr>
        <w:t>te, and supply chain concentration. The change of each capacity indicator under the specified rate of return on equity and green investment ratio was particularly effective at predicting sustainable development. There were significant differences in magnit</w:t>
      </w:r>
      <w:r>
        <w:rPr>
          <w:rFonts w:ascii="Palatino Linotype" w:eastAsia="Times New Roman" w:hAnsi="Palatino Linotype" w:cs="Times New Roman"/>
          <w:snapToGrid w:val="0"/>
          <w:color w:val="000000"/>
          <w:kern w:val="0"/>
          <w:sz w:val="20"/>
          <w:szCs w:val="21"/>
          <w:lang w:bidi="en-US"/>
        </w:rPr>
        <w:t>ude between the corporate characteristics, and relationships are ultimately complex and dynamic under different rates of return in each corporate category.</w:t>
      </w:r>
    </w:p>
    <w:p w14:paraId="41950A4A"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findings also identified specific interaction effects as critical to support corporate sustainab</w:t>
      </w:r>
      <w:r>
        <w:rPr>
          <w:rFonts w:ascii="Palatino Linotype" w:eastAsia="Times New Roman" w:hAnsi="Palatino Linotype" w:cs="Times New Roman"/>
          <w:snapToGrid w:val="0"/>
          <w:color w:val="000000"/>
          <w:kern w:val="0"/>
          <w:sz w:val="20"/>
          <w:szCs w:val="21"/>
          <w:lang w:bidi="en-US"/>
        </w:rPr>
        <w:t>le development. Interaction effects with respect to sustainable development are shown, including: (1) the growth rate of return on equity and green management; (2) profit growth rate and green management; (3) green transformation and R&amp;D quality; (4) green</w:t>
      </w:r>
      <w:r>
        <w:rPr>
          <w:rFonts w:ascii="Palatino Linotype" w:eastAsia="Times New Roman" w:hAnsi="Palatino Linotype" w:cs="Times New Roman"/>
          <w:snapToGrid w:val="0"/>
          <w:color w:val="000000"/>
          <w:kern w:val="0"/>
          <w:sz w:val="20"/>
          <w:szCs w:val="21"/>
          <w:lang w:bidi="en-US"/>
        </w:rPr>
        <w:t xml:space="preserve"> investment ratio and R&amp;D investment ratio; and (5) current asset turnover rate and R&amp;D investment ratio. </w:t>
      </w:r>
    </w:p>
    <w:p w14:paraId="0DB88C2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This paper makes a theoretical contribution by extending existing knowledge from an integrated view, incorporating prior literature from investment d</w:t>
      </w:r>
      <w:r>
        <w:rPr>
          <w:rFonts w:ascii="Palatino Linotype" w:eastAsia="Times New Roman" w:hAnsi="Palatino Linotype" w:cs="Times New Roman"/>
          <w:snapToGrid w:val="0"/>
          <w:color w:val="000000"/>
          <w:kern w:val="0"/>
          <w:sz w:val="20"/>
          <w:szCs w:val="21"/>
          <w:lang w:bidi="en-US"/>
        </w:rPr>
        <w:t xml:space="preserve">ecision theory, resource-based theory, and sustainable operations theory as diverse domains with </w:t>
      </w:r>
      <w:r>
        <w:rPr>
          <w:rFonts w:ascii="Palatino Linotype" w:eastAsia="Times New Roman" w:hAnsi="Palatino Linotype" w:cs="Times New Roman"/>
          <w:snapToGrid w:val="0"/>
          <w:color w:val="000000"/>
          <w:kern w:val="0"/>
          <w:sz w:val="20"/>
          <w:szCs w:val="21"/>
          <w:lang w:bidi="en-US"/>
        </w:rPr>
        <w:lastRenderedPageBreak/>
        <w:t>multidimensional corporate characteristics such as financial performance, green development, R&amp;D innovation, and supply chain management. The newly proposed pe</w:t>
      </w:r>
      <w:r>
        <w:rPr>
          <w:rFonts w:ascii="Palatino Linotype" w:eastAsia="Times New Roman" w:hAnsi="Palatino Linotype" w:cs="Times New Roman"/>
          <w:snapToGrid w:val="0"/>
          <w:color w:val="000000"/>
          <w:kern w:val="0"/>
          <w:sz w:val="20"/>
          <w:szCs w:val="21"/>
          <w:lang w:bidi="en-US"/>
        </w:rPr>
        <w:t>rspective offers a comprehensive analytical framework. The multidimensional perspective accounts for the limitations of singular perspectives presented in prior research, providing a more complete perspective and understanding of the complexities of corpor</w:t>
      </w:r>
      <w:r>
        <w:rPr>
          <w:rFonts w:ascii="Palatino Linotype" w:eastAsia="Times New Roman" w:hAnsi="Palatino Linotype" w:cs="Times New Roman"/>
          <w:snapToGrid w:val="0"/>
          <w:color w:val="000000"/>
          <w:kern w:val="0"/>
          <w:sz w:val="20"/>
          <w:szCs w:val="21"/>
          <w:lang w:bidi="en-US"/>
        </w:rPr>
        <w:t xml:space="preserve">ate sustainable development. </w:t>
      </w:r>
      <w:proofErr w:type="spellStart"/>
      <w:r>
        <w:rPr>
          <w:rFonts w:ascii="Palatino Linotype" w:eastAsia="Times New Roman" w:hAnsi="Palatino Linotype" w:cs="Times New Roman"/>
          <w:snapToGrid w:val="0"/>
          <w:color w:val="000000"/>
          <w:kern w:val="0"/>
          <w:sz w:val="20"/>
          <w:szCs w:val="21"/>
          <w:lang w:bidi="en-US"/>
        </w:rPr>
        <w:t>Analysing</w:t>
      </w:r>
      <w:proofErr w:type="spellEnd"/>
      <w:r>
        <w:rPr>
          <w:rFonts w:ascii="Palatino Linotype" w:eastAsia="Times New Roman" w:hAnsi="Palatino Linotype" w:cs="Times New Roman"/>
          <w:snapToGrid w:val="0"/>
          <w:color w:val="000000"/>
          <w:kern w:val="0"/>
          <w:sz w:val="20"/>
          <w:szCs w:val="21"/>
          <w:lang w:bidi="en-US"/>
        </w:rPr>
        <w:t xml:space="preserve"> the interaction effects of multiple factors provides insight into the degree each factor affects the others, supporting corporate sustainable development. This analysis leads to a better understanding of the internal </w:t>
      </w:r>
      <w:r>
        <w:rPr>
          <w:rFonts w:ascii="Palatino Linotype" w:eastAsia="Times New Roman" w:hAnsi="Palatino Linotype" w:cs="Times New Roman"/>
          <w:snapToGrid w:val="0"/>
          <w:color w:val="000000"/>
          <w:kern w:val="0"/>
          <w:sz w:val="20"/>
          <w:szCs w:val="21"/>
          <w:lang w:bidi="en-US"/>
        </w:rPr>
        <w:t>mechanisms around sustainable development while offering new insights to support future research.</w:t>
      </w:r>
    </w:p>
    <w:p w14:paraId="7BE4A042"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The practical application value of this study includes developing a high-dimensional predictive model with tangible decision support tools for corporate manag</w:t>
      </w:r>
      <w:r>
        <w:rPr>
          <w:rFonts w:ascii="Palatino Linotype" w:eastAsia="Times New Roman" w:hAnsi="Palatino Linotype" w:cs="Times New Roman"/>
          <w:snapToGrid w:val="0"/>
          <w:color w:val="000000"/>
          <w:kern w:val="0"/>
          <w:sz w:val="20"/>
          <w:szCs w:val="21"/>
          <w:lang w:bidi="en-US"/>
        </w:rPr>
        <w:t>ement practice. This study will surface all possible influences for corporate management to account for regarding financial performance, green development capacity, R&amp;D innovation, and supply chain management capacity when making the most informed investme</w:t>
      </w:r>
      <w:r>
        <w:rPr>
          <w:rFonts w:ascii="Palatino Linotype" w:eastAsia="Times New Roman" w:hAnsi="Palatino Linotype" w:cs="Times New Roman"/>
          <w:snapToGrid w:val="0"/>
          <w:color w:val="000000"/>
          <w:kern w:val="0"/>
          <w:sz w:val="20"/>
          <w:szCs w:val="21"/>
          <w:lang w:bidi="en-US"/>
        </w:rPr>
        <w:t xml:space="preserve">nt decisions. This type of analysis will help enterprises recognize and optimize key drivers of development more accurately. The study takes action a step further by </w:t>
      </w:r>
      <w:proofErr w:type="spellStart"/>
      <w:r>
        <w:rPr>
          <w:rFonts w:ascii="Palatino Linotype" w:eastAsia="Times New Roman" w:hAnsi="Palatino Linotype" w:cs="Times New Roman"/>
          <w:snapToGrid w:val="0"/>
          <w:color w:val="000000"/>
          <w:kern w:val="0"/>
          <w:sz w:val="20"/>
          <w:szCs w:val="21"/>
          <w:lang w:bidi="en-US"/>
        </w:rPr>
        <w:t>analysing</w:t>
      </w:r>
      <w:proofErr w:type="spellEnd"/>
      <w:r>
        <w:rPr>
          <w:rFonts w:ascii="Palatino Linotype" w:eastAsia="Times New Roman" w:hAnsi="Palatino Linotype" w:cs="Times New Roman"/>
          <w:snapToGrid w:val="0"/>
          <w:color w:val="000000"/>
          <w:kern w:val="0"/>
          <w:sz w:val="20"/>
          <w:szCs w:val="21"/>
          <w:lang w:bidi="en-US"/>
        </w:rPr>
        <w:t xml:space="preserve"> the key influencing factors and variation of performance under various investmen</w:t>
      </w:r>
      <w:r>
        <w:rPr>
          <w:rFonts w:ascii="Palatino Linotype" w:eastAsia="Times New Roman" w:hAnsi="Palatino Linotype" w:cs="Times New Roman"/>
          <w:snapToGrid w:val="0"/>
          <w:color w:val="000000"/>
          <w:kern w:val="0"/>
          <w:sz w:val="20"/>
          <w:szCs w:val="21"/>
          <w:lang w:bidi="en-US"/>
        </w:rPr>
        <w:t>t ratios. These analyses provide guidance to enterprises with respect to resource allocation, long-term strategy, etc., and thus better manage future planning in the market for sustainable development.</w:t>
      </w:r>
    </w:p>
    <w:p w14:paraId="0CE4EEC1" w14:textId="77777777" w:rsidR="00624AAA" w:rsidRDefault="00C46345">
      <w:pPr>
        <w:spacing w:line="280" w:lineRule="exact"/>
        <w:rPr>
          <w:rFonts w:ascii="Palatino Linotype" w:eastAsia="Times New Roman" w:hAnsi="Palatino Linotype" w:cs="Times New Roman"/>
          <w:snapToGrid w:val="0"/>
          <w:color w:val="000000"/>
          <w:kern w:val="0"/>
          <w:sz w:val="20"/>
          <w:szCs w:val="21"/>
          <w:lang w:bidi="en-US"/>
        </w:rPr>
      </w:pPr>
      <w:r>
        <w:rPr>
          <w:rFonts w:ascii="Palatino Linotype" w:eastAsia="Times New Roman" w:hAnsi="Palatino Linotype" w:cs="Times New Roman"/>
          <w:snapToGrid w:val="0"/>
          <w:color w:val="000000"/>
          <w:kern w:val="0"/>
          <w:sz w:val="20"/>
          <w:szCs w:val="21"/>
          <w:lang w:bidi="en-US"/>
        </w:rPr>
        <w:t>By integrating theoretical analysis and empirical rese</w:t>
      </w:r>
      <w:r>
        <w:rPr>
          <w:rFonts w:ascii="Palatino Linotype" w:eastAsia="Times New Roman" w:hAnsi="Palatino Linotype" w:cs="Times New Roman"/>
          <w:snapToGrid w:val="0"/>
          <w:color w:val="000000"/>
          <w:kern w:val="0"/>
          <w:sz w:val="20"/>
          <w:szCs w:val="21"/>
          <w:lang w:bidi="en-US"/>
        </w:rPr>
        <w:t>arch, this study links academic research to corporate management practice. The connection enhances an already comprehensive body of theoretical research while providing practical value for corporate managers. The research outcomes present a pathway with mu</w:t>
      </w:r>
      <w:r>
        <w:rPr>
          <w:rFonts w:ascii="Palatino Linotype" w:eastAsia="Times New Roman" w:hAnsi="Palatino Linotype" w:cs="Times New Roman"/>
          <w:snapToGrid w:val="0"/>
          <w:color w:val="000000"/>
          <w:kern w:val="0"/>
          <w:sz w:val="20"/>
          <w:szCs w:val="21"/>
          <w:lang w:bidi="en-US"/>
        </w:rPr>
        <w:t>ltiple modalities for enterprises to promote sustainable development representations through investment decisions, resources or allocation to corporate characteristics required to become sustainable. Many of the examples outlined are represented with ratio</w:t>
      </w:r>
      <w:r>
        <w:rPr>
          <w:rFonts w:ascii="Palatino Linotype" w:eastAsia="Times New Roman" w:hAnsi="Palatino Linotype" w:cs="Times New Roman"/>
          <w:snapToGrid w:val="0"/>
          <w:color w:val="000000"/>
          <w:kern w:val="0"/>
          <w:sz w:val="20"/>
          <w:szCs w:val="21"/>
          <w:lang w:bidi="en-US"/>
        </w:rPr>
        <w:t>nal deliberation and action significance, which presents direct guidance for organizational managers with respect to taking action in practice.</w:t>
      </w:r>
    </w:p>
    <w:p w14:paraId="45A80F72" w14:textId="77777777" w:rsidR="00624AAA" w:rsidRDefault="00C46345">
      <w:pPr>
        <w:pStyle w:val="MDPI22heading2"/>
        <w:spacing w:before="240"/>
        <w:ind w:left="0"/>
        <w:rPr>
          <w:lang w:eastAsia="zh-CN"/>
        </w:rPr>
      </w:pPr>
      <w:r>
        <w:rPr>
          <w:rFonts w:hint="eastAsia"/>
          <w:lang w:eastAsia="zh-CN"/>
        </w:rPr>
        <w:t>6.2 Limitations and Implications</w:t>
      </w:r>
    </w:p>
    <w:p w14:paraId="5B655E21"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While this report has contributed to our understanding of corporate sustainabil</w:t>
      </w:r>
      <w:r>
        <w:rPr>
          <w:rFonts w:ascii="Palatino Linotype" w:eastAsia="Times New Roman" w:hAnsi="Palatino Linotype" w:cs="Times New Roman"/>
          <w:snapToGrid w:val="0"/>
          <w:color w:val="000000"/>
          <w:kern w:val="0"/>
          <w:sz w:val="20"/>
          <w:szCs w:val="20"/>
          <w:lang w:bidi="en-US"/>
        </w:rPr>
        <w:t xml:space="preserve">ity, there are limitations to the conclusions that provide opportunities for further research. The primary limitation is the sample, which is limited to A-share listed companies in China between 2010 and 2022. The geographical and temporal limitations may </w:t>
      </w:r>
      <w:r>
        <w:rPr>
          <w:rFonts w:ascii="Palatino Linotype" w:eastAsia="Times New Roman" w:hAnsi="Palatino Linotype" w:cs="Times New Roman"/>
          <w:snapToGrid w:val="0"/>
          <w:color w:val="000000"/>
          <w:kern w:val="0"/>
          <w:sz w:val="20"/>
          <w:szCs w:val="20"/>
          <w:lang w:bidi="en-US"/>
        </w:rPr>
        <w:t>also impact the extent to which the findings can generalize across different economic cycles and worldwide markets. Future research could explore research into this area with more international firms as well as longer time series data.</w:t>
      </w:r>
    </w:p>
    <w:p w14:paraId="5AD91066" w14:textId="77777777" w:rsidR="00624AAA" w:rsidRDefault="00C46345">
      <w:pPr>
        <w:spacing w:line="280" w:lineRule="exact"/>
        <w:rPr>
          <w:rFonts w:ascii="Palatino Linotype" w:eastAsia="Times New Roman" w:hAnsi="Palatino Linotype" w:cs="Times New Roman"/>
          <w:snapToGrid w:val="0"/>
          <w:color w:val="000000"/>
          <w:kern w:val="0"/>
          <w:sz w:val="20"/>
          <w:szCs w:val="20"/>
          <w:lang w:bidi="en-US"/>
        </w:rPr>
      </w:pPr>
      <w:r>
        <w:rPr>
          <w:rFonts w:ascii="Palatino Linotype" w:eastAsia="Times New Roman" w:hAnsi="Palatino Linotype" w:cs="Times New Roman"/>
          <w:snapToGrid w:val="0"/>
          <w:color w:val="000000"/>
          <w:kern w:val="0"/>
          <w:sz w:val="20"/>
          <w:szCs w:val="20"/>
          <w:lang w:bidi="en-US"/>
        </w:rPr>
        <w:t xml:space="preserve">In </w:t>
      </w:r>
      <w:r>
        <w:rPr>
          <w:rFonts w:ascii="Palatino Linotype" w:eastAsia="Times New Roman" w:hAnsi="Palatino Linotype" w:cs="Times New Roman"/>
          <w:snapToGrid w:val="0"/>
          <w:color w:val="000000"/>
          <w:kern w:val="0"/>
          <w:sz w:val="20"/>
          <w:szCs w:val="20"/>
          <w:lang w:bidi="en-US"/>
        </w:rPr>
        <w:t xml:space="preserve">addition, while the high-dimensional models in this report improve the precision of estimates, the black box nature of a high-dimensional model can make it difficult to derive practical implications from this case study. Future studies should evaluate how </w:t>
      </w:r>
      <w:r>
        <w:rPr>
          <w:rFonts w:ascii="Palatino Linotype" w:eastAsia="Times New Roman" w:hAnsi="Palatino Linotype" w:cs="Times New Roman"/>
          <w:snapToGrid w:val="0"/>
          <w:color w:val="000000"/>
          <w:kern w:val="0"/>
          <w:sz w:val="20"/>
          <w:szCs w:val="20"/>
          <w:lang w:bidi="en-US"/>
        </w:rPr>
        <w:t>to refine the model (per the headers above), while also recognizing external dynamic factors such as macroeconomic changes as well as specific policy regulations to adapt to the model parameters. Finally, there are great opportunities for more research, in</w:t>
      </w:r>
      <w:r>
        <w:rPr>
          <w:rFonts w:ascii="Palatino Linotype" w:eastAsia="Times New Roman" w:hAnsi="Palatino Linotype" w:cs="Times New Roman"/>
          <w:snapToGrid w:val="0"/>
          <w:color w:val="000000"/>
          <w:kern w:val="0"/>
          <w:sz w:val="20"/>
          <w:szCs w:val="20"/>
          <w:lang w:bidi="en-US"/>
        </w:rPr>
        <w:t xml:space="preserve">cluding between -industry comparisons as well as a more exploratory study of the invisible interactions between green development, R&amp;D spending and financial performance. By addressing the above areas, future research may be developed from this case study </w:t>
      </w:r>
      <w:r>
        <w:rPr>
          <w:rFonts w:ascii="Palatino Linotype" w:eastAsia="Times New Roman" w:hAnsi="Palatino Linotype" w:cs="Times New Roman"/>
          <w:snapToGrid w:val="0"/>
          <w:color w:val="000000"/>
          <w:kern w:val="0"/>
          <w:sz w:val="20"/>
          <w:szCs w:val="20"/>
          <w:lang w:bidi="en-US"/>
        </w:rPr>
        <w:t>to better apply epistemology to adaptive practices that enterprises may use when pursuing sustainable development.</w:t>
      </w:r>
    </w:p>
    <w:p w14:paraId="5456EEEC" w14:textId="77777777" w:rsidR="00624AAA" w:rsidRDefault="00624AAA">
      <w:pPr>
        <w:spacing w:line="360" w:lineRule="auto"/>
        <w:rPr>
          <w:rFonts w:ascii="Times New Roman Regular" w:hAnsi="Times New Roman Regular" w:cs="Times New Roman Regular"/>
          <w:color w:val="000000" w:themeColor="text1"/>
          <w:sz w:val="20"/>
          <w:szCs w:val="20"/>
        </w:rPr>
      </w:pPr>
    </w:p>
    <w:p w14:paraId="2618B3B8" w14:textId="77777777" w:rsidR="00624AAA" w:rsidRDefault="00624AAA">
      <w:pPr>
        <w:spacing w:line="360" w:lineRule="auto"/>
        <w:rPr>
          <w:rFonts w:ascii="Times New Roman Regular" w:hAnsi="Times New Roman Regular" w:cs="Times New Roman Regular"/>
          <w:color w:val="000000" w:themeColor="text1"/>
          <w:sz w:val="24"/>
        </w:rPr>
      </w:pPr>
    </w:p>
    <w:p w14:paraId="1CB36779"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b/>
          <w:bCs/>
          <w:snapToGrid w:val="0"/>
          <w:color w:val="000000"/>
          <w:kern w:val="0"/>
          <w:sz w:val="18"/>
          <w:szCs w:val="20"/>
          <w:lang w:bidi="en-US"/>
        </w:rPr>
        <w:t>Author Contributions:</w:t>
      </w:r>
      <w:r>
        <w:rPr>
          <w:rFonts w:ascii="Palatino Linotype" w:eastAsia="Times New Roman" w:hAnsi="Palatino Linotype" w:cs="Times New Roman"/>
          <w:b/>
          <w:bCs/>
          <w:snapToGrid w:val="0"/>
          <w:color w:val="000000"/>
          <w:kern w:val="0"/>
          <w:sz w:val="18"/>
          <w:szCs w:val="20"/>
          <w:lang w:bidi="en-US"/>
        </w:rPr>
        <w:t xml:space="preserve"> </w:t>
      </w:r>
      <w:r>
        <w:rPr>
          <w:rFonts w:ascii="Palatino Linotype" w:eastAsia="Times New Roman" w:hAnsi="Palatino Linotype" w:cs="Times New Roman"/>
          <w:snapToGrid w:val="0"/>
          <w:color w:val="000000"/>
          <w:kern w:val="0"/>
          <w:sz w:val="18"/>
          <w:szCs w:val="20"/>
          <w:lang w:bidi="en-US"/>
        </w:rPr>
        <w:t xml:space="preserve">Conceptualization, </w:t>
      </w:r>
      <w:r>
        <w:rPr>
          <w:rFonts w:ascii="Palatino Linotype" w:eastAsia="Times New Roman" w:hAnsi="Palatino Linotype" w:cs="Times New Roman" w:hint="eastAsia"/>
          <w:snapToGrid w:val="0"/>
          <w:color w:val="000000"/>
          <w:kern w:val="0"/>
          <w:sz w:val="18"/>
          <w:szCs w:val="20"/>
          <w:lang w:bidi="en-US"/>
        </w:rPr>
        <w:t>H.X.</w:t>
      </w:r>
      <w:r>
        <w:rPr>
          <w:rFonts w:ascii="Palatino Linotype" w:eastAsia="Times New Roman" w:hAnsi="Palatino Linotype" w:cs="Times New Roman"/>
          <w:snapToGrid w:val="0"/>
          <w:color w:val="000000"/>
          <w:kern w:val="0"/>
          <w:sz w:val="18"/>
          <w:szCs w:val="20"/>
          <w:lang w:bidi="en-US"/>
        </w:rPr>
        <w:t xml:space="preserve"> and </w:t>
      </w:r>
      <w:bookmarkStart w:id="1" w:name="OLE_LINK1"/>
      <w:r>
        <w:rPr>
          <w:rFonts w:ascii="Palatino Linotype" w:eastAsia="Times New Roman" w:hAnsi="Palatino Linotype" w:cs="Times New Roman" w:hint="eastAsia"/>
          <w:snapToGrid w:val="0"/>
          <w:color w:val="000000"/>
          <w:kern w:val="0"/>
          <w:sz w:val="18"/>
          <w:szCs w:val="20"/>
          <w:lang w:bidi="en-US"/>
        </w:rPr>
        <w:t>S</w:t>
      </w:r>
      <w:r>
        <w:rPr>
          <w:rFonts w:ascii="Palatino Linotype" w:eastAsia="Times New Roman" w:hAnsi="Palatino Linotype" w:cs="Times New Roman"/>
          <w:snapToGrid w:val="0"/>
          <w:color w:val="000000"/>
          <w:kern w:val="0"/>
          <w:sz w:val="18"/>
          <w:szCs w:val="20"/>
          <w:lang w:bidi="en-US"/>
        </w:rPr>
        <w:t>.</w:t>
      </w:r>
      <w:r>
        <w:rPr>
          <w:rFonts w:ascii="Palatino Linotype" w:eastAsia="Times New Roman" w:hAnsi="Palatino Linotype" w:cs="Times New Roman" w:hint="eastAsia"/>
          <w:snapToGrid w:val="0"/>
          <w:color w:val="000000"/>
          <w:kern w:val="0"/>
          <w:sz w:val="18"/>
          <w:szCs w:val="20"/>
          <w:lang w:bidi="en-US"/>
        </w:rPr>
        <w:t>Z</w:t>
      </w:r>
      <w:r>
        <w:rPr>
          <w:rFonts w:ascii="Palatino Linotype" w:eastAsia="Times New Roman" w:hAnsi="Palatino Linotype" w:cs="Times New Roman"/>
          <w:snapToGrid w:val="0"/>
          <w:color w:val="000000"/>
          <w:kern w:val="0"/>
          <w:sz w:val="18"/>
          <w:szCs w:val="20"/>
          <w:lang w:bidi="en-US"/>
        </w:rPr>
        <w:t>.</w:t>
      </w:r>
      <w:bookmarkEnd w:id="1"/>
      <w:r>
        <w:rPr>
          <w:rFonts w:ascii="Palatino Linotype" w:eastAsia="Times New Roman" w:hAnsi="Palatino Linotype" w:cs="Times New Roman"/>
          <w:snapToGrid w:val="0"/>
          <w:color w:val="000000"/>
          <w:kern w:val="0"/>
          <w:sz w:val="18"/>
          <w:szCs w:val="20"/>
          <w:lang w:bidi="en-US"/>
        </w:rPr>
        <w:t xml:space="preserve">; methodology, S.Z. and </w:t>
      </w:r>
      <w:r>
        <w:rPr>
          <w:rFonts w:ascii="Palatino Linotype" w:eastAsia="Times New Roman" w:hAnsi="Palatino Linotype" w:cs="Times New Roman" w:hint="eastAsia"/>
          <w:snapToGrid w:val="0"/>
          <w:color w:val="000000"/>
          <w:kern w:val="0"/>
          <w:sz w:val="18"/>
          <w:szCs w:val="20"/>
          <w:lang w:bidi="en-US"/>
        </w:rPr>
        <w:t>H.X.</w:t>
      </w:r>
      <w:r>
        <w:rPr>
          <w:rFonts w:ascii="Palatino Linotype" w:eastAsia="Times New Roman" w:hAnsi="Palatino Linotype" w:cs="Times New Roman"/>
          <w:snapToGrid w:val="0"/>
          <w:color w:val="000000"/>
          <w:kern w:val="0"/>
          <w:sz w:val="18"/>
          <w:szCs w:val="20"/>
          <w:lang w:bidi="en-US"/>
        </w:rPr>
        <w:t xml:space="preserve">; software, S.Z. and Y.L.; validation, S.Z. and </w:t>
      </w:r>
      <w:r>
        <w:rPr>
          <w:rFonts w:ascii="Palatino Linotype" w:eastAsia="Times New Roman" w:hAnsi="Palatino Linotype" w:cs="Times New Roman" w:hint="eastAsia"/>
          <w:snapToGrid w:val="0"/>
          <w:color w:val="000000"/>
          <w:kern w:val="0"/>
          <w:sz w:val="18"/>
          <w:szCs w:val="20"/>
          <w:lang w:bidi="en-US"/>
        </w:rPr>
        <w:t>H.X.</w:t>
      </w:r>
      <w:r>
        <w:rPr>
          <w:rFonts w:ascii="Palatino Linotype" w:eastAsia="Times New Roman" w:hAnsi="Palatino Linotype" w:cs="Times New Roman"/>
          <w:snapToGrid w:val="0"/>
          <w:color w:val="000000"/>
          <w:kern w:val="0"/>
          <w:sz w:val="18"/>
          <w:szCs w:val="20"/>
          <w:lang w:bidi="en-US"/>
        </w:rPr>
        <w:t xml:space="preserve">, </w:t>
      </w:r>
      <w:r>
        <w:rPr>
          <w:rFonts w:ascii="Palatino Linotype" w:eastAsia="Times New Roman" w:hAnsi="Palatino Linotype" w:cs="Times New Roman" w:hint="eastAsia"/>
          <w:snapToGrid w:val="0"/>
          <w:color w:val="000000"/>
          <w:kern w:val="0"/>
          <w:sz w:val="18"/>
          <w:szCs w:val="20"/>
          <w:lang w:bidi="en-US"/>
        </w:rPr>
        <w:t>H</w:t>
      </w:r>
      <w:r>
        <w:rPr>
          <w:rFonts w:ascii="Palatino Linotype" w:eastAsia="Times New Roman" w:hAnsi="Palatino Linotype" w:cs="Times New Roman"/>
          <w:snapToGrid w:val="0"/>
          <w:color w:val="000000"/>
          <w:kern w:val="0"/>
          <w:sz w:val="18"/>
          <w:szCs w:val="20"/>
          <w:lang w:bidi="en-US"/>
        </w:rPr>
        <w:t>.</w:t>
      </w:r>
      <w:r>
        <w:rPr>
          <w:rFonts w:ascii="Palatino Linotype" w:eastAsia="Times New Roman" w:hAnsi="Palatino Linotype" w:cs="Times New Roman" w:hint="eastAsia"/>
          <w:snapToGrid w:val="0"/>
          <w:color w:val="000000"/>
          <w:kern w:val="0"/>
          <w:sz w:val="18"/>
          <w:szCs w:val="20"/>
          <w:lang w:bidi="en-US"/>
        </w:rPr>
        <w:t>W</w:t>
      </w:r>
      <w:r>
        <w:rPr>
          <w:rFonts w:ascii="Palatino Linotype" w:eastAsia="Times New Roman" w:hAnsi="Palatino Linotype" w:cs="Times New Roman"/>
          <w:snapToGrid w:val="0"/>
          <w:color w:val="000000"/>
          <w:kern w:val="0"/>
          <w:sz w:val="18"/>
          <w:szCs w:val="20"/>
          <w:lang w:bidi="en-US"/>
        </w:rPr>
        <w:t xml:space="preserve">. and S.Z.; formal analysis, </w:t>
      </w:r>
      <w:r>
        <w:rPr>
          <w:rFonts w:ascii="Palatino Linotype" w:eastAsia="Times New Roman" w:hAnsi="Palatino Linotype" w:cs="Times New Roman" w:hint="eastAsia"/>
          <w:snapToGrid w:val="0"/>
          <w:color w:val="000000"/>
          <w:kern w:val="0"/>
          <w:sz w:val="18"/>
          <w:szCs w:val="20"/>
          <w:lang w:bidi="en-US"/>
        </w:rPr>
        <w:t>H.X.</w:t>
      </w:r>
      <w:r>
        <w:rPr>
          <w:rFonts w:ascii="Palatino Linotype" w:eastAsia="Times New Roman" w:hAnsi="Palatino Linotype" w:cs="Times New Roman"/>
          <w:snapToGrid w:val="0"/>
          <w:color w:val="000000"/>
          <w:kern w:val="0"/>
          <w:sz w:val="18"/>
          <w:szCs w:val="20"/>
          <w:lang w:bidi="en-US"/>
        </w:rPr>
        <w:t xml:space="preserve">; investigation, S.Z. and Y.L.; resources, H.W.; data curation, S.Z. and Y.L.; writing—original draft preparation, </w:t>
      </w:r>
      <w:r>
        <w:rPr>
          <w:rFonts w:ascii="Palatino Linotype" w:eastAsia="Times New Roman" w:hAnsi="Palatino Linotype" w:cs="Times New Roman" w:hint="eastAsia"/>
          <w:snapToGrid w:val="0"/>
          <w:color w:val="000000"/>
          <w:kern w:val="0"/>
          <w:sz w:val="18"/>
          <w:szCs w:val="20"/>
          <w:lang w:bidi="en-US"/>
        </w:rPr>
        <w:t>H.X. and S.Z.</w:t>
      </w:r>
      <w:r>
        <w:rPr>
          <w:rFonts w:ascii="Palatino Linotype" w:eastAsia="Times New Roman" w:hAnsi="Palatino Linotype" w:cs="Times New Roman"/>
          <w:snapToGrid w:val="0"/>
          <w:color w:val="000000"/>
          <w:kern w:val="0"/>
          <w:sz w:val="18"/>
          <w:szCs w:val="20"/>
          <w:lang w:bidi="en-US"/>
        </w:rPr>
        <w:t xml:space="preserve">; writing—review and editing, </w:t>
      </w:r>
      <w:r>
        <w:rPr>
          <w:rFonts w:ascii="Palatino Linotype" w:eastAsia="Times New Roman" w:hAnsi="Palatino Linotype" w:cs="Times New Roman" w:hint="eastAsia"/>
          <w:snapToGrid w:val="0"/>
          <w:color w:val="000000"/>
          <w:kern w:val="0"/>
          <w:sz w:val="18"/>
          <w:szCs w:val="20"/>
          <w:lang w:bidi="en-US"/>
        </w:rPr>
        <w:t>H</w:t>
      </w:r>
      <w:r>
        <w:rPr>
          <w:rFonts w:ascii="Palatino Linotype" w:eastAsia="Times New Roman" w:hAnsi="Palatino Linotype" w:cs="Times New Roman"/>
          <w:snapToGrid w:val="0"/>
          <w:color w:val="000000"/>
          <w:kern w:val="0"/>
          <w:sz w:val="18"/>
          <w:szCs w:val="20"/>
          <w:lang w:bidi="en-US"/>
        </w:rPr>
        <w:t>.</w:t>
      </w:r>
      <w:r>
        <w:rPr>
          <w:rFonts w:ascii="Palatino Linotype" w:eastAsia="Times New Roman" w:hAnsi="Palatino Linotype" w:cs="Times New Roman" w:hint="eastAsia"/>
          <w:snapToGrid w:val="0"/>
          <w:color w:val="000000"/>
          <w:kern w:val="0"/>
          <w:sz w:val="18"/>
          <w:szCs w:val="20"/>
          <w:lang w:bidi="en-US"/>
        </w:rPr>
        <w:t>W</w:t>
      </w:r>
      <w:r>
        <w:rPr>
          <w:rFonts w:ascii="Palatino Linotype" w:eastAsia="Times New Roman" w:hAnsi="Palatino Linotype" w:cs="Times New Roman"/>
          <w:snapToGrid w:val="0"/>
          <w:color w:val="000000"/>
          <w:kern w:val="0"/>
          <w:sz w:val="18"/>
          <w:szCs w:val="20"/>
          <w:lang w:bidi="en-US"/>
        </w:rPr>
        <w:t>.; vi</w:t>
      </w:r>
      <w:r>
        <w:rPr>
          <w:rFonts w:ascii="Palatino Linotype" w:eastAsia="Times New Roman" w:hAnsi="Palatino Linotype" w:cs="Times New Roman"/>
          <w:snapToGrid w:val="0"/>
          <w:color w:val="000000"/>
          <w:kern w:val="0"/>
          <w:sz w:val="18"/>
          <w:szCs w:val="20"/>
          <w:lang w:bidi="en-US"/>
        </w:rPr>
        <w:t xml:space="preserve">sualization, H.W.; supervision, </w:t>
      </w:r>
      <w:r>
        <w:rPr>
          <w:rFonts w:ascii="Palatino Linotype" w:eastAsia="Times New Roman" w:hAnsi="Palatino Linotype" w:cs="Times New Roman" w:hint="eastAsia"/>
          <w:snapToGrid w:val="0"/>
          <w:color w:val="000000"/>
          <w:kern w:val="0"/>
          <w:sz w:val="18"/>
          <w:szCs w:val="20"/>
          <w:lang w:bidi="en-US"/>
        </w:rPr>
        <w:t>H.X. and S.Z.</w:t>
      </w:r>
      <w:r>
        <w:rPr>
          <w:rFonts w:ascii="Palatino Linotype" w:eastAsia="Times New Roman" w:hAnsi="Palatino Linotype" w:cs="Times New Roman"/>
          <w:snapToGrid w:val="0"/>
          <w:color w:val="000000"/>
          <w:kern w:val="0"/>
          <w:sz w:val="18"/>
          <w:szCs w:val="20"/>
          <w:lang w:bidi="en-US"/>
        </w:rPr>
        <w:t xml:space="preserve"> and Y.L.; project administration, </w:t>
      </w:r>
      <w:r>
        <w:rPr>
          <w:rFonts w:ascii="Palatino Linotype" w:eastAsia="Times New Roman" w:hAnsi="Palatino Linotype" w:cs="Times New Roman" w:hint="eastAsia"/>
          <w:snapToGrid w:val="0"/>
          <w:color w:val="000000"/>
          <w:kern w:val="0"/>
          <w:sz w:val="18"/>
          <w:szCs w:val="20"/>
          <w:lang w:bidi="en-US"/>
        </w:rPr>
        <w:t>H.W.</w:t>
      </w:r>
      <w:r>
        <w:rPr>
          <w:rFonts w:ascii="Palatino Linotype" w:eastAsia="Times New Roman" w:hAnsi="Palatino Linotype" w:cs="Times New Roman"/>
          <w:snapToGrid w:val="0"/>
          <w:color w:val="000000"/>
          <w:kern w:val="0"/>
          <w:sz w:val="18"/>
          <w:szCs w:val="20"/>
          <w:lang w:bidi="en-US"/>
        </w:rPr>
        <w:t xml:space="preserve">; funding acquisition, </w:t>
      </w:r>
      <w:proofErr w:type="gramStart"/>
      <w:r>
        <w:rPr>
          <w:rFonts w:ascii="Palatino Linotype" w:eastAsia="Times New Roman" w:hAnsi="Palatino Linotype" w:cs="Times New Roman"/>
          <w:snapToGrid w:val="0"/>
          <w:color w:val="000000"/>
          <w:kern w:val="0"/>
          <w:sz w:val="18"/>
          <w:szCs w:val="20"/>
          <w:lang w:bidi="en-US"/>
        </w:rPr>
        <w:t>H.X. ,</w:t>
      </w:r>
      <w:proofErr w:type="gramEnd"/>
      <w:r>
        <w:rPr>
          <w:rFonts w:ascii="Palatino Linotype" w:eastAsia="Times New Roman" w:hAnsi="Palatino Linotype" w:cs="Times New Roman"/>
          <w:snapToGrid w:val="0"/>
          <w:color w:val="000000"/>
          <w:kern w:val="0"/>
          <w:sz w:val="18"/>
          <w:szCs w:val="20"/>
          <w:lang w:bidi="en-US"/>
        </w:rPr>
        <w:t xml:space="preserve"> S.Z</w:t>
      </w:r>
      <w:r>
        <w:rPr>
          <w:rFonts w:ascii="Palatino Linotype" w:eastAsia="Times New Roman" w:hAnsi="Palatino Linotype" w:cs="Times New Roman" w:hint="eastAsia"/>
          <w:snapToGrid w:val="0"/>
          <w:color w:val="000000"/>
          <w:kern w:val="0"/>
          <w:sz w:val="18"/>
          <w:szCs w:val="20"/>
          <w:lang w:bidi="en-US"/>
        </w:rPr>
        <w:t>.</w:t>
      </w:r>
      <w:r>
        <w:rPr>
          <w:rFonts w:ascii="Palatino Linotype" w:eastAsia="Times New Roman" w:hAnsi="Palatino Linotype" w:cs="Times New Roman"/>
          <w:snapToGrid w:val="0"/>
          <w:color w:val="000000"/>
          <w:kern w:val="0"/>
          <w:sz w:val="18"/>
          <w:szCs w:val="20"/>
          <w:lang w:bidi="en-US"/>
        </w:rPr>
        <w:t xml:space="preserve"> and Y.L.</w:t>
      </w:r>
      <w:r>
        <w:rPr>
          <w:rFonts w:ascii="Palatino Linotype" w:eastAsia="Times New Roman" w:hAnsi="Palatino Linotype" w:cs="Times New Roman" w:hint="eastAsia"/>
          <w:snapToGrid w:val="0"/>
          <w:color w:val="000000"/>
          <w:kern w:val="0"/>
          <w:sz w:val="18"/>
          <w:szCs w:val="20"/>
          <w:lang w:bidi="en-US"/>
        </w:rPr>
        <w:t>.</w:t>
      </w:r>
      <w:r>
        <w:rPr>
          <w:rFonts w:ascii="Palatino Linotype" w:eastAsia="Times New Roman" w:hAnsi="Palatino Linotype" w:cs="Times New Roman"/>
          <w:snapToGrid w:val="0"/>
          <w:color w:val="000000"/>
          <w:kern w:val="0"/>
          <w:sz w:val="18"/>
          <w:szCs w:val="20"/>
          <w:lang w:bidi="en-US"/>
        </w:rPr>
        <w:t xml:space="preserve"> All authors have read and agreed to the published version of the manuscript.</w:t>
      </w:r>
    </w:p>
    <w:p w14:paraId="29954754" w14:textId="77777777" w:rsidR="00624AAA" w:rsidRDefault="00624AAA">
      <w:pPr>
        <w:spacing w:line="280" w:lineRule="exact"/>
        <w:rPr>
          <w:rFonts w:ascii="Palatino Linotype" w:eastAsia="Times New Roman" w:hAnsi="Palatino Linotype" w:cs="Times New Roman"/>
          <w:b/>
          <w:bCs/>
          <w:snapToGrid w:val="0"/>
          <w:color w:val="000000"/>
          <w:kern w:val="0"/>
          <w:sz w:val="18"/>
          <w:szCs w:val="20"/>
          <w:lang w:bidi="en-US"/>
        </w:rPr>
      </w:pPr>
    </w:p>
    <w:p w14:paraId="5EDE2819"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b/>
          <w:bCs/>
          <w:snapToGrid w:val="0"/>
          <w:color w:val="000000"/>
          <w:kern w:val="0"/>
          <w:sz w:val="18"/>
          <w:szCs w:val="20"/>
          <w:lang w:bidi="en-US"/>
        </w:rPr>
        <w:t>Funding:</w:t>
      </w:r>
      <w:r>
        <w:rPr>
          <w:rFonts w:ascii="Palatino Linotype" w:eastAsia="Times New Roman" w:hAnsi="Palatino Linotype" w:cs="Times New Roman"/>
          <w:snapToGrid w:val="0"/>
          <w:color w:val="000000"/>
          <w:kern w:val="0"/>
          <w:sz w:val="18"/>
          <w:szCs w:val="20"/>
          <w:lang w:bidi="en-US"/>
        </w:rPr>
        <w:t xml:space="preserve"> The Youth Project of Shandong Provincial</w:t>
      </w:r>
      <w:r>
        <w:rPr>
          <w:rFonts w:ascii="Palatino Linotype" w:eastAsia="Times New Roman" w:hAnsi="Palatino Linotype" w:cs="Times New Roman"/>
          <w:snapToGrid w:val="0"/>
          <w:color w:val="000000"/>
          <w:kern w:val="0"/>
          <w:sz w:val="18"/>
          <w:szCs w:val="20"/>
          <w:lang w:bidi="en-US"/>
        </w:rPr>
        <w:t xml:space="preserve"> Natural Science Foundation "Theoretical and Practical Research on the Integration of Business and Finance in Public Hospitals from the Perspective of New Quality Productivity" (ZR2024QG200); The Youth Fund Project of Hebei Provincial Natural Science Found</w:t>
      </w:r>
      <w:r>
        <w:rPr>
          <w:rFonts w:ascii="Palatino Linotype" w:eastAsia="Times New Roman" w:hAnsi="Palatino Linotype" w:cs="Times New Roman"/>
          <w:snapToGrid w:val="0"/>
          <w:color w:val="000000"/>
          <w:kern w:val="0"/>
          <w:sz w:val="18"/>
          <w:szCs w:val="20"/>
          <w:lang w:bidi="en-US"/>
        </w:rPr>
        <w:t>ation (G2024202011): Research on the Impact Mechanism of Key Core Technological Innovation from the Perspective of Multi-dimensional Dynamics of Internal Cooperation Networks in Enterprises; Science Research Project of Hebei Education Department（BJ2025277）</w:t>
      </w:r>
      <w:r>
        <w:rPr>
          <w:rFonts w:ascii="Palatino Linotype" w:eastAsia="Times New Roman" w:hAnsi="Palatino Linotype" w:cs="Times New Roman"/>
          <w:snapToGrid w:val="0"/>
          <w:color w:val="000000"/>
          <w:kern w:val="0"/>
          <w:sz w:val="18"/>
          <w:szCs w:val="20"/>
          <w:lang w:bidi="en-US"/>
        </w:rPr>
        <w:t>and China Scholarship Council (202406200119).</w:t>
      </w:r>
    </w:p>
    <w:p w14:paraId="0BB524F8" w14:textId="77777777" w:rsidR="00624AAA" w:rsidRDefault="00624AAA">
      <w:pPr>
        <w:spacing w:line="280" w:lineRule="exact"/>
        <w:rPr>
          <w:rFonts w:ascii="Palatino Linotype" w:eastAsia="Times New Roman" w:hAnsi="Palatino Linotype" w:cs="Times New Roman"/>
          <w:b/>
          <w:bCs/>
          <w:snapToGrid w:val="0"/>
          <w:color w:val="000000"/>
          <w:kern w:val="0"/>
          <w:sz w:val="18"/>
          <w:szCs w:val="20"/>
          <w:lang w:bidi="en-US"/>
        </w:rPr>
      </w:pPr>
    </w:p>
    <w:p w14:paraId="3F58086C"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b/>
          <w:bCs/>
          <w:snapToGrid w:val="0"/>
          <w:color w:val="000000"/>
          <w:kern w:val="0"/>
          <w:sz w:val="18"/>
          <w:szCs w:val="20"/>
          <w:lang w:bidi="en-US"/>
        </w:rPr>
        <w:t>Institutional Review Board Statement:</w:t>
      </w:r>
      <w:r>
        <w:rPr>
          <w:rFonts w:ascii="Palatino Linotype" w:eastAsia="Times New Roman" w:hAnsi="Palatino Linotype" w:cs="Times New Roman" w:hint="eastAsia"/>
          <w:b/>
          <w:bCs/>
          <w:snapToGrid w:val="0"/>
          <w:color w:val="000000"/>
          <w:kern w:val="0"/>
          <w:sz w:val="18"/>
          <w:szCs w:val="20"/>
          <w:lang w:bidi="en-US"/>
        </w:rPr>
        <w:t xml:space="preserve"> </w:t>
      </w:r>
      <w:r>
        <w:rPr>
          <w:rFonts w:ascii="Palatino Linotype" w:eastAsia="Times New Roman" w:hAnsi="Palatino Linotype" w:cs="Times New Roman" w:hint="eastAsia"/>
          <w:snapToGrid w:val="0"/>
          <w:color w:val="000000"/>
          <w:kern w:val="0"/>
          <w:sz w:val="18"/>
          <w:szCs w:val="20"/>
          <w:lang w:bidi="en-US"/>
        </w:rPr>
        <w:t>Not applicable.</w:t>
      </w:r>
    </w:p>
    <w:p w14:paraId="2F47F845" w14:textId="77777777" w:rsidR="00624AAA" w:rsidRDefault="00624AAA">
      <w:pPr>
        <w:spacing w:line="280" w:lineRule="exact"/>
        <w:rPr>
          <w:rFonts w:ascii="Palatino Linotype" w:eastAsia="Times New Roman" w:hAnsi="Palatino Linotype" w:cs="Times New Roman"/>
          <w:b/>
          <w:bCs/>
          <w:snapToGrid w:val="0"/>
          <w:color w:val="000000"/>
          <w:kern w:val="0"/>
          <w:sz w:val="18"/>
          <w:szCs w:val="20"/>
          <w:lang w:bidi="en-US"/>
        </w:rPr>
      </w:pPr>
    </w:p>
    <w:p w14:paraId="770C2B28"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b/>
          <w:bCs/>
          <w:snapToGrid w:val="0"/>
          <w:color w:val="000000"/>
          <w:kern w:val="0"/>
          <w:sz w:val="18"/>
          <w:szCs w:val="20"/>
          <w:lang w:bidi="en-US"/>
        </w:rPr>
        <w:t>Informed Consent Statement:</w:t>
      </w:r>
      <w:r>
        <w:rPr>
          <w:rFonts w:ascii="Palatino Linotype" w:eastAsia="Times New Roman" w:hAnsi="Palatino Linotype" w:cs="Times New Roman" w:hint="eastAsia"/>
          <w:snapToGrid w:val="0"/>
          <w:color w:val="000000"/>
          <w:kern w:val="0"/>
          <w:sz w:val="18"/>
          <w:szCs w:val="20"/>
          <w:lang w:bidi="en-US"/>
        </w:rPr>
        <w:t xml:space="preserve"> Not applicable.</w:t>
      </w:r>
    </w:p>
    <w:p w14:paraId="28E0914C" w14:textId="77777777" w:rsidR="00624AAA" w:rsidRDefault="00624AAA">
      <w:pPr>
        <w:spacing w:line="280" w:lineRule="exact"/>
        <w:rPr>
          <w:rFonts w:ascii="Palatino Linotype" w:eastAsia="Times New Roman" w:hAnsi="Palatino Linotype" w:cs="Times New Roman"/>
          <w:b/>
          <w:bCs/>
          <w:snapToGrid w:val="0"/>
          <w:color w:val="000000"/>
          <w:kern w:val="0"/>
          <w:sz w:val="18"/>
          <w:szCs w:val="20"/>
          <w:lang w:bidi="en-US"/>
        </w:rPr>
      </w:pPr>
    </w:p>
    <w:p w14:paraId="4A32DC83"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b/>
          <w:bCs/>
          <w:snapToGrid w:val="0"/>
          <w:color w:val="000000"/>
          <w:kern w:val="0"/>
          <w:sz w:val="18"/>
          <w:szCs w:val="20"/>
          <w:lang w:bidi="en-US"/>
        </w:rPr>
        <w:t xml:space="preserve">Data Availability Statement: </w:t>
      </w:r>
      <w:r>
        <w:rPr>
          <w:rFonts w:ascii="Palatino Linotype" w:eastAsia="Times New Roman" w:hAnsi="Palatino Linotype" w:cs="Times New Roman" w:hint="eastAsia"/>
          <w:snapToGrid w:val="0"/>
          <w:color w:val="000000"/>
          <w:kern w:val="0"/>
          <w:sz w:val="18"/>
          <w:szCs w:val="20"/>
          <w:lang w:bidi="en-US"/>
        </w:rPr>
        <w:t>The dataset used in this study is available for download from the</w:t>
      </w:r>
    </w:p>
    <w:p w14:paraId="1C426782"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hint="eastAsia"/>
          <w:snapToGrid w:val="0"/>
          <w:color w:val="000000"/>
          <w:kern w:val="0"/>
          <w:sz w:val="18"/>
          <w:szCs w:val="20"/>
          <w:lang w:bidi="en-US"/>
        </w:rPr>
        <w:t>Conﬂicts of Interest: The authors declare no conﬂicts of interest</w:t>
      </w:r>
    </w:p>
    <w:p w14:paraId="3A899881" w14:textId="77777777" w:rsidR="00624AAA" w:rsidRDefault="00624AAA">
      <w:pPr>
        <w:spacing w:line="360" w:lineRule="auto"/>
        <w:rPr>
          <w:rFonts w:ascii="Times New Roman Regular" w:hAnsi="Times New Roman Regular" w:cs="Times New Roman Regular"/>
          <w:b/>
          <w:bCs/>
          <w:color w:val="000000" w:themeColor="text1"/>
          <w:sz w:val="24"/>
        </w:rPr>
      </w:pPr>
    </w:p>
    <w:p w14:paraId="4BAC6222" w14:textId="77777777" w:rsidR="00624AAA" w:rsidRDefault="00C46345">
      <w:pPr>
        <w:pStyle w:val="MDPI21heading1"/>
        <w:ind w:left="0"/>
        <w:rPr>
          <w:lang w:eastAsia="zh-CN"/>
        </w:rPr>
      </w:pPr>
      <w:r>
        <w:rPr>
          <w:lang w:eastAsia="zh-CN"/>
        </w:rPr>
        <w:t>Reference</w:t>
      </w:r>
    </w:p>
    <w:p w14:paraId="2F3D80F4"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 w:name="_Ref700838632"/>
      <w:r>
        <w:rPr>
          <w:rFonts w:ascii="Palatino Regular" w:hAnsi="Palatino Regular" w:cs="Palatino Regular"/>
          <w:color w:val="000000" w:themeColor="text1"/>
          <w:szCs w:val="21"/>
        </w:rPr>
        <w:t xml:space="preserve">Lee, I.H.; Lévesque, M. Do resource-constrained early-stage firms balance their internal resources across business activities? If so, should they? </w:t>
      </w:r>
      <w:r>
        <w:rPr>
          <w:rFonts w:ascii="Palatino Regular" w:hAnsi="Palatino Regular" w:cs="Palatino Regular"/>
          <w:i/>
          <w:iCs/>
          <w:color w:val="000000" w:themeColor="text1"/>
          <w:szCs w:val="21"/>
        </w:rPr>
        <w:t>J. Bus. Res.</w:t>
      </w:r>
      <w:r>
        <w:rPr>
          <w:rFonts w:ascii="Palatino Regular" w:hAnsi="Palatino Regular" w:cs="Palatino Regular"/>
          <w:color w:val="000000" w:themeColor="text1"/>
          <w:szCs w:val="21"/>
        </w:rPr>
        <w:t xml:space="preserve"> 2023, 159, 113410.</w:t>
      </w:r>
      <w:bookmarkEnd w:id="2"/>
    </w:p>
    <w:p w14:paraId="6588D8DF"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3" w:name="_Ref701208386"/>
      <w:proofErr w:type="spellStart"/>
      <w:r>
        <w:rPr>
          <w:rFonts w:ascii="Palatino Regular" w:hAnsi="Palatino Regular" w:cs="Palatino Regular"/>
          <w:color w:val="000000" w:themeColor="text1"/>
          <w:szCs w:val="21"/>
        </w:rPr>
        <w:t>Keupp</w:t>
      </w:r>
      <w:proofErr w:type="spellEnd"/>
      <w:r>
        <w:rPr>
          <w:rFonts w:ascii="Palatino Regular" w:hAnsi="Palatino Regular" w:cs="Palatino Regular"/>
          <w:color w:val="000000" w:themeColor="text1"/>
          <w:szCs w:val="21"/>
        </w:rPr>
        <w:t>, M.M.; Gassmann, O. Resource constraints as triggers of radical innovat</w:t>
      </w:r>
      <w:r>
        <w:rPr>
          <w:rFonts w:ascii="Palatino Regular" w:hAnsi="Palatino Regular" w:cs="Palatino Regular"/>
          <w:color w:val="000000" w:themeColor="text1"/>
          <w:szCs w:val="21"/>
        </w:rPr>
        <w:t xml:space="preserve">ion: Longitudinal evidence from the manufacturing sector. </w:t>
      </w:r>
      <w:r>
        <w:rPr>
          <w:rFonts w:ascii="Palatino Regular" w:hAnsi="Palatino Regular" w:cs="Palatino Regular"/>
          <w:i/>
          <w:iCs/>
          <w:color w:val="000000" w:themeColor="text1"/>
          <w:szCs w:val="21"/>
        </w:rPr>
        <w:t>Res. Policy</w:t>
      </w:r>
      <w:r>
        <w:rPr>
          <w:rFonts w:ascii="Palatino Regular" w:hAnsi="Palatino Regular" w:cs="Palatino Regular"/>
          <w:color w:val="000000" w:themeColor="text1"/>
          <w:szCs w:val="21"/>
        </w:rPr>
        <w:t xml:space="preserve"> 2013, 42, 1457-1468.</w:t>
      </w:r>
      <w:bookmarkEnd w:id="3"/>
    </w:p>
    <w:p w14:paraId="4DF4C0BF"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4" w:name="_Ref702115964"/>
      <w:proofErr w:type="spellStart"/>
      <w:r>
        <w:rPr>
          <w:rFonts w:ascii="Palatino Regular" w:hAnsi="Palatino Regular" w:cs="Palatino Regular"/>
          <w:color w:val="000000" w:themeColor="text1"/>
          <w:szCs w:val="21"/>
        </w:rPr>
        <w:t>Alam</w:t>
      </w:r>
      <w:proofErr w:type="spellEnd"/>
      <w:r>
        <w:rPr>
          <w:rFonts w:ascii="Palatino Regular" w:hAnsi="Palatino Regular" w:cs="Palatino Regular"/>
          <w:color w:val="000000" w:themeColor="text1"/>
          <w:szCs w:val="21"/>
        </w:rPr>
        <w:t xml:space="preserve">, A.; Uddin, M.; </w:t>
      </w:r>
      <w:proofErr w:type="spellStart"/>
      <w:r>
        <w:rPr>
          <w:rFonts w:ascii="Palatino Regular" w:hAnsi="Palatino Regular" w:cs="Palatino Regular"/>
          <w:color w:val="000000" w:themeColor="text1"/>
          <w:szCs w:val="21"/>
        </w:rPr>
        <w:t>Yazdifar</w:t>
      </w:r>
      <w:proofErr w:type="spellEnd"/>
      <w:r>
        <w:rPr>
          <w:rFonts w:ascii="Palatino Regular" w:hAnsi="Palatino Regular" w:cs="Palatino Regular"/>
          <w:color w:val="000000" w:themeColor="text1"/>
          <w:szCs w:val="21"/>
        </w:rPr>
        <w:t>, H.; Shafique, S.; Lartey, T. R&amp;D investment, firm performance and moderating role of system and safeguard: Evidence from emerging mark</w:t>
      </w:r>
      <w:r>
        <w:rPr>
          <w:rFonts w:ascii="Palatino Regular" w:hAnsi="Palatino Regular" w:cs="Palatino Regular"/>
          <w:color w:val="000000" w:themeColor="text1"/>
          <w:szCs w:val="21"/>
        </w:rPr>
        <w:t xml:space="preserve">ets. </w:t>
      </w:r>
      <w:r>
        <w:rPr>
          <w:rFonts w:ascii="Palatino Regular" w:hAnsi="Palatino Regular" w:cs="Palatino Regular"/>
          <w:i/>
          <w:iCs/>
          <w:color w:val="000000" w:themeColor="text1"/>
          <w:szCs w:val="21"/>
        </w:rPr>
        <w:t>J. Bus. Res.</w:t>
      </w:r>
      <w:r>
        <w:rPr>
          <w:rFonts w:ascii="Palatino Regular" w:hAnsi="Palatino Regular" w:cs="Palatino Regular"/>
          <w:color w:val="000000" w:themeColor="text1"/>
          <w:szCs w:val="21"/>
        </w:rPr>
        <w:t xml:space="preserve"> 2020, 106, 94-105.</w:t>
      </w:r>
      <w:bookmarkEnd w:id="4"/>
    </w:p>
    <w:p w14:paraId="41934224"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5" w:name="_Ref702552946"/>
      <w:r>
        <w:rPr>
          <w:rFonts w:ascii="Palatino Regular" w:hAnsi="Palatino Regular" w:cs="Palatino Regular"/>
          <w:color w:val="000000" w:themeColor="text1"/>
          <w:szCs w:val="21"/>
        </w:rPr>
        <w:t>Chen, S.; Sun, Z.; Tang, S.; Wu, D. Government intervention and investment efficiency: Evidence from China.</w:t>
      </w:r>
      <w:r>
        <w:rPr>
          <w:rFonts w:ascii="Palatino Regular" w:hAnsi="Palatino Regular" w:cs="Palatino Regular"/>
          <w:i/>
          <w:iCs/>
          <w:color w:val="000000" w:themeColor="text1"/>
          <w:szCs w:val="21"/>
        </w:rPr>
        <w:t xml:space="preserve"> J. Corp. </w:t>
      </w:r>
      <w:proofErr w:type="spellStart"/>
      <w:r>
        <w:rPr>
          <w:rFonts w:ascii="Palatino Regular" w:hAnsi="Palatino Regular" w:cs="Palatino Regular"/>
          <w:i/>
          <w:iCs/>
          <w:color w:val="000000" w:themeColor="text1"/>
          <w:szCs w:val="21"/>
        </w:rPr>
        <w:t>Financ</w:t>
      </w:r>
      <w:proofErr w:type="spellEnd"/>
      <w:r>
        <w:rPr>
          <w:rFonts w:ascii="Palatino Regular" w:hAnsi="Palatino Regular" w:cs="Palatino Regular"/>
          <w:color w:val="000000" w:themeColor="text1"/>
          <w:szCs w:val="21"/>
        </w:rPr>
        <w:t>. 2011, 17, 259-271.</w:t>
      </w:r>
      <w:bookmarkEnd w:id="5"/>
    </w:p>
    <w:p w14:paraId="495D485A"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6" w:name="_Ref702788244"/>
      <w:proofErr w:type="spellStart"/>
      <w:r>
        <w:rPr>
          <w:rFonts w:ascii="Palatino Regular" w:hAnsi="Palatino Regular" w:cs="Palatino Regular"/>
          <w:color w:val="000000" w:themeColor="text1"/>
          <w:szCs w:val="21"/>
        </w:rPr>
        <w:t>Mutlu</w:t>
      </w:r>
      <w:proofErr w:type="spellEnd"/>
      <w:r>
        <w:rPr>
          <w:rFonts w:ascii="Palatino Regular" w:hAnsi="Palatino Regular" w:cs="Palatino Regular"/>
          <w:color w:val="000000" w:themeColor="text1"/>
          <w:szCs w:val="21"/>
        </w:rPr>
        <w:t>, C.C.; Van Essen, M.; Peng, M.W.; Saleh, S.F.; Duran, P. Corporate go</w:t>
      </w:r>
      <w:r>
        <w:rPr>
          <w:rFonts w:ascii="Palatino Regular" w:hAnsi="Palatino Regular" w:cs="Palatino Regular"/>
          <w:color w:val="000000" w:themeColor="text1"/>
          <w:szCs w:val="21"/>
        </w:rPr>
        <w:t>vernance in China: A meta‐analysis.</w:t>
      </w:r>
      <w:r>
        <w:rPr>
          <w:rFonts w:ascii="Palatino Regular" w:hAnsi="Palatino Regular" w:cs="Palatino Regular"/>
          <w:i/>
          <w:iCs/>
          <w:color w:val="000000" w:themeColor="text1"/>
          <w:szCs w:val="21"/>
        </w:rPr>
        <w:t xml:space="preserve"> J.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i/>
          <w:iCs/>
          <w:color w:val="000000" w:themeColor="text1"/>
          <w:szCs w:val="21"/>
        </w:rPr>
        <w:t>. Stud.</w:t>
      </w:r>
      <w:r>
        <w:rPr>
          <w:rFonts w:ascii="Palatino Regular" w:hAnsi="Palatino Regular" w:cs="Palatino Regular"/>
          <w:color w:val="000000" w:themeColor="text1"/>
          <w:szCs w:val="21"/>
        </w:rPr>
        <w:t xml:space="preserve"> 2018, 55, 943-979.</w:t>
      </w:r>
      <w:bookmarkEnd w:id="6"/>
    </w:p>
    <w:p w14:paraId="1AAD8668"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7" w:name="_Ref702989928"/>
      <w:r>
        <w:rPr>
          <w:rFonts w:ascii="Palatino Regular" w:hAnsi="Palatino Regular" w:cs="Palatino Regular"/>
          <w:color w:val="000000" w:themeColor="text1"/>
          <w:szCs w:val="21"/>
        </w:rPr>
        <w:t xml:space="preserve">Martin, P.R.; Moser, D.V. Managers’ green investment disclosures and investors’ reaction. </w:t>
      </w:r>
      <w:r>
        <w:rPr>
          <w:rFonts w:ascii="Palatino Regular" w:hAnsi="Palatino Regular" w:cs="Palatino Regular"/>
          <w:i/>
          <w:iCs/>
          <w:color w:val="000000" w:themeColor="text1"/>
          <w:szCs w:val="21"/>
        </w:rPr>
        <w:t>J. Account. Econ.</w:t>
      </w:r>
      <w:r>
        <w:rPr>
          <w:rFonts w:ascii="Palatino Regular" w:hAnsi="Palatino Regular" w:cs="Palatino Regular"/>
          <w:color w:val="000000" w:themeColor="text1"/>
          <w:szCs w:val="21"/>
        </w:rPr>
        <w:t xml:space="preserve"> 2016, 61, 239-254.</w:t>
      </w:r>
      <w:bookmarkEnd w:id="7"/>
    </w:p>
    <w:p w14:paraId="0E09F1DE"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8" w:name="_Ref703174805"/>
      <w:r>
        <w:rPr>
          <w:rFonts w:ascii="Palatino Regular" w:hAnsi="Palatino Regular" w:cs="Palatino Regular"/>
          <w:color w:val="000000" w:themeColor="text1"/>
          <w:szCs w:val="21"/>
        </w:rPr>
        <w:t>Yin, X.; Qi, L.; Ji, J.; Zhou, J. How does innovation spir</w:t>
      </w:r>
      <w:r>
        <w:rPr>
          <w:rFonts w:ascii="Palatino Regular" w:hAnsi="Palatino Regular" w:cs="Palatino Regular"/>
          <w:color w:val="000000" w:themeColor="text1"/>
          <w:szCs w:val="21"/>
        </w:rPr>
        <w:t xml:space="preserve">it affect R&amp;D investment and innovation performance? The moderating role of business environment. </w:t>
      </w:r>
      <w:r>
        <w:rPr>
          <w:rFonts w:ascii="Palatino Regular" w:hAnsi="Palatino Regular" w:cs="Palatino Regular"/>
          <w:i/>
          <w:iCs/>
          <w:color w:val="000000" w:themeColor="text1"/>
          <w:szCs w:val="21"/>
        </w:rPr>
        <w:t xml:space="preserve">J. </w:t>
      </w:r>
      <w:proofErr w:type="spellStart"/>
      <w:r>
        <w:rPr>
          <w:rFonts w:ascii="Palatino Regular" w:hAnsi="Palatino Regular" w:cs="Palatino Regular"/>
          <w:i/>
          <w:iCs/>
          <w:color w:val="000000" w:themeColor="text1"/>
          <w:szCs w:val="21"/>
        </w:rPr>
        <w:t>Innov</w:t>
      </w:r>
      <w:proofErr w:type="spellEnd"/>
      <w:r>
        <w:rPr>
          <w:rFonts w:ascii="Palatino Regular" w:hAnsi="Palatino Regular" w:cs="Palatino Regular"/>
          <w:i/>
          <w:iCs/>
          <w:color w:val="000000" w:themeColor="text1"/>
          <w:szCs w:val="21"/>
        </w:rPr>
        <w:t xml:space="preserve">. </w:t>
      </w:r>
      <w:proofErr w:type="spellStart"/>
      <w:r>
        <w:rPr>
          <w:rFonts w:ascii="Palatino Regular" w:hAnsi="Palatino Regular" w:cs="Palatino Regular"/>
          <w:i/>
          <w:iCs/>
          <w:color w:val="000000" w:themeColor="text1"/>
          <w:szCs w:val="21"/>
        </w:rPr>
        <w:t>Knowl</w:t>
      </w:r>
      <w:proofErr w:type="spellEnd"/>
      <w:r>
        <w:rPr>
          <w:rFonts w:ascii="Palatino Regular" w:hAnsi="Palatino Regular" w:cs="Palatino Regular"/>
          <w:i/>
          <w:iCs/>
          <w:color w:val="000000" w:themeColor="text1"/>
          <w:szCs w:val="21"/>
        </w:rPr>
        <w:t xml:space="preserve">. </w:t>
      </w:r>
      <w:r>
        <w:rPr>
          <w:rFonts w:ascii="Palatino Regular" w:hAnsi="Palatino Regular" w:cs="Palatino Regular"/>
          <w:color w:val="000000" w:themeColor="text1"/>
          <w:szCs w:val="21"/>
        </w:rPr>
        <w:t>2023, 8, 100398.</w:t>
      </w:r>
      <w:bookmarkEnd w:id="8"/>
    </w:p>
    <w:p w14:paraId="2E9079F6"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9" w:name="_Ref703460524"/>
      <w:r>
        <w:rPr>
          <w:rFonts w:ascii="Palatino Regular" w:hAnsi="Palatino Regular" w:cs="Palatino Regular"/>
          <w:color w:val="000000" w:themeColor="text1"/>
          <w:szCs w:val="21"/>
        </w:rPr>
        <w:t xml:space="preserve">Makhloufi, L.; </w:t>
      </w:r>
      <w:proofErr w:type="spellStart"/>
      <w:r>
        <w:rPr>
          <w:rFonts w:ascii="Palatino Regular" w:hAnsi="Palatino Regular" w:cs="Palatino Regular"/>
          <w:color w:val="000000" w:themeColor="text1"/>
          <w:szCs w:val="21"/>
        </w:rPr>
        <w:t>Laghouag</w:t>
      </w:r>
      <w:proofErr w:type="spellEnd"/>
      <w:r>
        <w:rPr>
          <w:rFonts w:ascii="Palatino Regular" w:hAnsi="Palatino Regular" w:cs="Palatino Regular"/>
          <w:color w:val="000000" w:themeColor="text1"/>
          <w:szCs w:val="21"/>
        </w:rPr>
        <w:t xml:space="preserve">, A.A.; </w:t>
      </w:r>
      <w:proofErr w:type="spellStart"/>
      <w:r>
        <w:rPr>
          <w:rFonts w:ascii="Palatino Regular" w:hAnsi="Palatino Regular" w:cs="Palatino Regular"/>
          <w:color w:val="000000" w:themeColor="text1"/>
          <w:szCs w:val="21"/>
        </w:rPr>
        <w:t>Meirun</w:t>
      </w:r>
      <w:proofErr w:type="spellEnd"/>
      <w:r>
        <w:rPr>
          <w:rFonts w:ascii="Palatino Regular" w:hAnsi="Palatino Regular" w:cs="Palatino Regular"/>
          <w:color w:val="000000" w:themeColor="text1"/>
          <w:szCs w:val="21"/>
        </w:rPr>
        <w:t xml:space="preserve">, T.; </w:t>
      </w:r>
      <w:proofErr w:type="spellStart"/>
      <w:r>
        <w:rPr>
          <w:rFonts w:ascii="Palatino Regular" w:hAnsi="Palatino Regular" w:cs="Palatino Regular"/>
          <w:color w:val="000000" w:themeColor="text1"/>
          <w:szCs w:val="21"/>
        </w:rPr>
        <w:t>Belaid</w:t>
      </w:r>
      <w:proofErr w:type="spellEnd"/>
      <w:r>
        <w:rPr>
          <w:rFonts w:ascii="Palatino Regular" w:hAnsi="Palatino Regular" w:cs="Palatino Regular"/>
          <w:color w:val="000000" w:themeColor="text1"/>
          <w:szCs w:val="21"/>
        </w:rPr>
        <w:t>, F. Impact of green entrepreneurship orientation on environmental performa</w:t>
      </w:r>
      <w:r>
        <w:rPr>
          <w:rFonts w:ascii="Palatino Regular" w:hAnsi="Palatino Regular" w:cs="Palatino Regular"/>
          <w:color w:val="000000" w:themeColor="text1"/>
          <w:szCs w:val="21"/>
        </w:rPr>
        <w:t>nce: The natural resource‐based view and environmental policy perspective.</w:t>
      </w:r>
      <w:r>
        <w:rPr>
          <w:rFonts w:ascii="Palatino Regular" w:hAnsi="Palatino Regular" w:cs="Palatino Regular"/>
          <w:i/>
          <w:iCs/>
          <w:color w:val="000000" w:themeColor="text1"/>
          <w:szCs w:val="21"/>
        </w:rPr>
        <w:t xml:space="preserve"> Bus. Strategy Environ.</w:t>
      </w:r>
      <w:r>
        <w:rPr>
          <w:rFonts w:ascii="Palatino Regular" w:hAnsi="Palatino Regular" w:cs="Palatino Regular"/>
          <w:color w:val="000000" w:themeColor="text1"/>
          <w:szCs w:val="21"/>
        </w:rPr>
        <w:t xml:space="preserve"> 2022, 31, 425-444.</w:t>
      </w:r>
      <w:bookmarkEnd w:id="9"/>
    </w:p>
    <w:p w14:paraId="77A3A190"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0" w:name="_Ref703645401"/>
      <w:r>
        <w:rPr>
          <w:rFonts w:ascii="Palatino Regular" w:hAnsi="Palatino Regular" w:cs="Palatino Regular"/>
          <w:color w:val="000000" w:themeColor="text1"/>
          <w:szCs w:val="21"/>
        </w:rPr>
        <w:t xml:space="preserve">Chen, X.; Chen, L.; Jiang, M.; Yan, J. Does R&amp;D intensity promote the adoption of circular supply chain management? Evidence from China. </w:t>
      </w:r>
      <w:r>
        <w:rPr>
          <w:rFonts w:ascii="Palatino Regular" w:hAnsi="Palatino Regular" w:cs="Palatino Regular"/>
          <w:i/>
          <w:iCs/>
          <w:color w:val="000000" w:themeColor="text1"/>
          <w:szCs w:val="21"/>
        </w:rPr>
        <w:t>In</w:t>
      </w:r>
      <w:r>
        <w:rPr>
          <w:rFonts w:ascii="Palatino Regular" w:hAnsi="Palatino Regular" w:cs="Palatino Regular"/>
          <w:i/>
          <w:iCs/>
          <w:color w:val="000000" w:themeColor="text1"/>
          <w:szCs w:val="21"/>
        </w:rPr>
        <w:t xml:space="preserve">d. Mark.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i/>
          <w:iCs/>
          <w:color w:val="000000" w:themeColor="text1"/>
          <w:szCs w:val="21"/>
        </w:rPr>
        <w:t>.</w:t>
      </w:r>
      <w:r>
        <w:rPr>
          <w:rFonts w:ascii="Palatino Regular" w:hAnsi="Palatino Regular" w:cs="Palatino Regular"/>
          <w:color w:val="000000" w:themeColor="text1"/>
          <w:szCs w:val="21"/>
        </w:rPr>
        <w:t xml:space="preserve"> 2021, 99, </w:t>
      </w:r>
      <w:r>
        <w:rPr>
          <w:rFonts w:ascii="Palatino Regular" w:hAnsi="Palatino Regular" w:cs="Palatino Regular"/>
          <w:color w:val="000000" w:themeColor="text1"/>
          <w:szCs w:val="21"/>
        </w:rPr>
        <w:lastRenderedPageBreak/>
        <w:t>153-166.</w:t>
      </w:r>
      <w:bookmarkEnd w:id="10"/>
    </w:p>
    <w:p w14:paraId="5B7A114A"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1" w:name="_Ref703914313"/>
      <w:r>
        <w:rPr>
          <w:rFonts w:ascii="Palatino Regular" w:hAnsi="Palatino Regular" w:cs="Palatino Regular"/>
          <w:color w:val="000000" w:themeColor="text1"/>
          <w:szCs w:val="21"/>
        </w:rPr>
        <w:t xml:space="preserve">Yu, Y.; Zhang, J.Z.; Cao, Y.; </w:t>
      </w:r>
      <w:proofErr w:type="spellStart"/>
      <w:r>
        <w:rPr>
          <w:rFonts w:ascii="Palatino Regular" w:hAnsi="Palatino Regular" w:cs="Palatino Regular"/>
          <w:color w:val="000000" w:themeColor="text1"/>
          <w:szCs w:val="21"/>
        </w:rPr>
        <w:t>Kazancoglu</w:t>
      </w:r>
      <w:proofErr w:type="spellEnd"/>
      <w:r>
        <w:rPr>
          <w:rFonts w:ascii="Palatino Regular" w:hAnsi="Palatino Regular" w:cs="Palatino Regular"/>
          <w:color w:val="000000" w:themeColor="text1"/>
          <w:szCs w:val="21"/>
        </w:rPr>
        <w:t>, Y. Intelligent transformation of the manufacturing industry for Industry 4.0: Seizing financial benefits from supply chain relationship capital through enterprise green management</w:t>
      </w:r>
      <w:r>
        <w:rPr>
          <w:rFonts w:ascii="Palatino Regular" w:hAnsi="Palatino Regular" w:cs="Palatino Regular"/>
          <w:color w:val="000000" w:themeColor="text1"/>
          <w:szCs w:val="21"/>
        </w:rPr>
        <w:t xml:space="preserve">. </w:t>
      </w:r>
      <w:r>
        <w:rPr>
          <w:rFonts w:ascii="Palatino Regular" w:hAnsi="Palatino Regular" w:cs="Palatino Regular"/>
          <w:i/>
          <w:iCs/>
          <w:color w:val="000000" w:themeColor="text1"/>
          <w:szCs w:val="21"/>
        </w:rPr>
        <w:t>Technol. Forecast. Soc. Change</w:t>
      </w:r>
      <w:r>
        <w:rPr>
          <w:rFonts w:ascii="Palatino Regular" w:hAnsi="Palatino Regular" w:cs="Palatino Regular"/>
          <w:color w:val="000000" w:themeColor="text1"/>
          <w:szCs w:val="21"/>
        </w:rPr>
        <w:t xml:space="preserve"> 2021, 172, 120999.</w:t>
      </w:r>
      <w:bookmarkEnd w:id="11"/>
    </w:p>
    <w:p w14:paraId="74F62703"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2" w:name="_Ref704132804"/>
      <w:r>
        <w:rPr>
          <w:rFonts w:ascii="Palatino Regular" w:hAnsi="Palatino Regular" w:cs="Palatino Regular"/>
          <w:color w:val="000000" w:themeColor="text1"/>
          <w:szCs w:val="21"/>
        </w:rPr>
        <w:t xml:space="preserve">Hao, X.Y.; Chen, F.L.; Chen, Z.F. Does green innovation increase enterprise value? </w:t>
      </w:r>
      <w:r>
        <w:rPr>
          <w:rFonts w:ascii="Palatino Regular" w:hAnsi="Palatino Regular" w:cs="Palatino Regular"/>
          <w:i/>
          <w:iCs/>
          <w:color w:val="000000" w:themeColor="text1"/>
          <w:szCs w:val="21"/>
        </w:rPr>
        <w:t xml:space="preserve">Bus. Strategy Environ. </w:t>
      </w:r>
      <w:r>
        <w:rPr>
          <w:rFonts w:ascii="Palatino Regular" w:hAnsi="Palatino Regular" w:cs="Palatino Regular"/>
          <w:color w:val="000000" w:themeColor="text1"/>
          <w:szCs w:val="21"/>
        </w:rPr>
        <w:t>2022, 31, 1232-1247.</w:t>
      </w:r>
      <w:bookmarkEnd w:id="12"/>
    </w:p>
    <w:p w14:paraId="224383D8"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3" w:name="_Ref704368102"/>
      <w:r>
        <w:rPr>
          <w:rFonts w:ascii="Palatino Regular" w:hAnsi="Palatino Regular" w:cs="Palatino Regular"/>
          <w:color w:val="000000" w:themeColor="text1"/>
          <w:szCs w:val="21"/>
        </w:rPr>
        <w:t>Zhang, J.; Chen, X.; Zhao, X. A perspective of government investment and ente</w:t>
      </w:r>
      <w:r>
        <w:rPr>
          <w:rFonts w:ascii="Palatino Regular" w:hAnsi="Palatino Regular" w:cs="Palatino Regular"/>
          <w:color w:val="000000" w:themeColor="text1"/>
          <w:szCs w:val="21"/>
        </w:rPr>
        <w:t xml:space="preserve">rprise innovation: Marketization of business environment. </w:t>
      </w:r>
      <w:r>
        <w:rPr>
          <w:rFonts w:ascii="Palatino Regular" w:hAnsi="Palatino Regular" w:cs="Palatino Regular"/>
          <w:i/>
          <w:iCs/>
          <w:color w:val="000000" w:themeColor="text1"/>
          <w:szCs w:val="21"/>
        </w:rPr>
        <w:t>J. Bus. Res.</w:t>
      </w:r>
      <w:r>
        <w:rPr>
          <w:rFonts w:ascii="Palatino Regular" w:hAnsi="Palatino Regular" w:cs="Palatino Regular"/>
          <w:color w:val="000000" w:themeColor="text1"/>
          <w:szCs w:val="21"/>
        </w:rPr>
        <w:t xml:space="preserve"> 2023, 164, 113925.</w:t>
      </w:r>
      <w:bookmarkEnd w:id="13"/>
    </w:p>
    <w:p w14:paraId="1325C2B9"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4" w:name="_Ref704569786"/>
      <w:proofErr w:type="spellStart"/>
      <w:r>
        <w:rPr>
          <w:rFonts w:ascii="Palatino Regular" w:hAnsi="Palatino Regular" w:cs="Palatino Regular"/>
          <w:color w:val="000000" w:themeColor="text1"/>
          <w:szCs w:val="21"/>
        </w:rPr>
        <w:t>Fontoura</w:t>
      </w:r>
      <w:proofErr w:type="spellEnd"/>
      <w:r>
        <w:rPr>
          <w:rFonts w:ascii="Palatino Regular" w:hAnsi="Palatino Regular" w:cs="Palatino Regular"/>
          <w:color w:val="000000" w:themeColor="text1"/>
          <w:szCs w:val="21"/>
        </w:rPr>
        <w:t xml:space="preserve">, P.; Coelho, A. How to boost green innovation and performance through </w:t>
      </w:r>
      <w:r>
        <w:rPr>
          <w:rFonts w:ascii="Palatino Regular" w:hAnsi="Palatino Regular" w:cs="Palatino Regular"/>
          <w:i/>
          <w:iCs/>
          <w:color w:val="000000" w:themeColor="text1"/>
          <w:szCs w:val="21"/>
        </w:rPr>
        <w:t xml:space="preserve">collaboration in the supply chain: Insights into a more sustainable economy. </w:t>
      </w:r>
      <w:r>
        <w:rPr>
          <w:rFonts w:ascii="Palatino Regular" w:hAnsi="Palatino Regular" w:cs="Palatino Regular"/>
          <w:color w:val="000000" w:themeColor="text1"/>
          <w:szCs w:val="21"/>
        </w:rPr>
        <w:t>J. Clean. Prod. 2022, 359, 132005.</w:t>
      </w:r>
      <w:bookmarkEnd w:id="14"/>
    </w:p>
    <w:p w14:paraId="2AABF119"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5" w:name="_Ref704855505"/>
      <w:r>
        <w:rPr>
          <w:rFonts w:ascii="Palatino Regular" w:hAnsi="Palatino Regular" w:cs="Palatino Regular"/>
          <w:color w:val="000000" w:themeColor="text1"/>
          <w:szCs w:val="21"/>
        </w:rPr>
        <w:t xml:space="preserve">Rocca, R.; </w:t>
      </w:r>
      <w:proofErr w:type="spellStart"/>
      <w:r>
        <w:rPr>
          <w:rFonts w:ascii="Palatino Regular" w:hAnsi="Palatino Regular" w:cs="Palatino Regular"/>
          <w:color w:val="000000" w:themeColor="text1"/>
          <w:szCs w:val="21"/>
        </w:rPr>
        <w:t>Yarkoni</w:t>
      </w:r>
      <w:proofErr w:type="spellEnd"/>
      <w:r>
        <w:rPr>
          <w:rFonts w:ascii="Palatino Regular" w:hAnsi="Palatino Regular" w:cs="Palatino Regular"/>
          <w:color w:val="000000" w:themeColor="text1"/>
          <w:szCs w:val="21"/>
        </w:rPr>
        <w:t xml:space="preserve">, T. Putting psychology to the test: Rethinking model evaluation through benchmarking and prediction. </w:t>
      </w:r>
      <w:r>
        <w:rPr>
          <w:rFonts w:ascii="Palatino Regular" w:hAnsi="Palatino Regular" w:cs="Palatino Regular"/>
          <w:i/>
          <w:iCs/>
          <w:color w:val="000000" w:themeColor="text1"/>
          <w:szCs w:val="21"/>
        </w:rPr>
        <w:t xml:space="preserve">Adv. Methods </w:t>
      </w:r>
      <w:proofErr w:type="spellStart"/>
      <w:r>
        <w:rPr>
          <w:rFonts w:ascii="Palatino Regular" w:hAnsi="Palatino Regular" w:cs="Palatino Regular"/>
          <w:i/>
          <w:iCs/>
          <w:color w:val="000000" w:themeColor="text1"/>
          <w:szCs w:val="21"/>
        </w:rPr>
        <w:t>Pract</w:t>
      </w:r>
      <w:proofErr w:type="spellEnd"/>
      <w:r>
        <w:rPr>
          <w:rFonts w:ascii="Palatino Regular" w:hAnsi="Palatino Regular" w:cs="Palatino Regular"/>
          <w:i/>
          <w:iCs/>
          <w:color w:val="000000" w:themeColor="text1"/>
          <w:szCs w:val="21"/>
        </w:rPr>
        <w:t>. Psyc</w:t>
      </w:r>
      <w:r>
        <w:rPr>
          <w:rFonts w:ascii="Palatino Regular" w:hAnsi="Palatino Regular" w:cs="Palatino Regular"/>
          <w:i/>
          <w:iCs/>
          <w:color w:val="000000" w:themeColor="text1"/>
          <w:szCs w:val="21"/>
        </w:rPr>
        <w:t xml:space="preserve">hol. Sci. </w:t>
      </w:r>
      <w:r>
        <w:rPr>
          <w:rFonts w:ascii="Palatino Regular" w:hAnsi="Palatino Regular" w:cs="Palatino Regular"/>
          <w:color w:val="000000" w:themeColor="text1"/>
          <w:szCs w:val="21"/>
        </w:rPr>
        <w:t>2021, 4, 25152459211026864.</w:t>
      </w:r>
      <w:bookmarkEnd w:id="15"/>
    </w:p>
    <w:p w14:paraId="214D2746"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6" w:name="_Ref705124417"/>
      <w:proofErr w:type="spellStart"/>
      <w:r>
        <w:rPr>
          <w:rFonts w:ascii="Palatino Regular" w:hAnsi="Palatino Regular" w:cs="Palatino Regular"/>
          <w:color w:val="000000" w:themeColor="text1"/>
          <w:szCs w:val="21"/>
        </w:rPr>
        <w:t>Pargent</w:t>
      </w:r>
      <w:proofErr w:type="spellEnd"/>
      <w:r>
        <w:rPr>
          <w:rFonts w:ascii="Palatino Regular" w:hAnsi="Palatino Regular" w:cs="Palatino Regular"/>
          <w:color w:val="000000" w:themeColor="text1"/>
          <w:szCs w:val="21"/>
        </w:rPr>
        <w:t xml:space="preserve">, F.; </w:t>
      </w:r>
      <w:proofErr w:type="spellStart"/>
      <w:r>
        <w:rPr>
          <w:rFonts w:ascii="Palatino Regular" w:hAnsi="Palatino Regular" w:cs="Palatino Regular"/>
          <w:color w:val="000000" w:themeColor="text1"/>
          <w:szCs w:val="21"/>
        </w:rPr>
        <w:t>Schoedel</w:t>
      </w:r>
      <w:proofErr w:type="spellEnd"/>
      <w:r>
        <w:rPr>
          <w:rFonts w:ascii="Palatino Regular" w:hAnsi="Palatino Regular" w:cs="Palatino Regular"/>
          <w:color w:val="000000" w:themeColor="text1"/>
          <w:szCs w:val="21"/>
        </w:rPr>
        <w:t xml:space="preserve">, R.; </w:t>
      </w:r>
      <w:proofErr w:type="spellStart"/>
      <w:r>
        <w:rPr>
          <w:rFonts w:ascii="Palatino Regular" w:hAnsi="Palatino Regular" w:cs="Palatino Regular"/>
          <w:color w:val="000000" w:themeColor="text1"/>
          <w:szCs w:val="21"/>
        </w:rPr>
        <w:t>Stachl</w:t>
      </w:r>
      <w:proofErr w:type="spellEnd"/>
      <w:r>
        <w:rPr>
          <w:rFonts w:ascii="Palatino Regular" w:hAnsi="Palatino Regular" w:cs="Palatino Regular"/>
          <w:color w:val="000000" w:themeColor="text1"/>
          <w:szCs w:val="21"/>
        </w:rPr>
        <w:t xml:space="preserve">, C. Best practices in supervised machine learning: A tutorial for psychologists. </w:t>
      </w:r>
      <w:r>
        <w:rPr>
          <w:rFonts w:ascii="Palatino Regular" w:hAnsi="Palatino Regular" w:cs="Palatino Regular"/>
          <w:i/>
          <w:iCs/>
          <w:color w:val="000000" w:themeColor="text1"/>
          <w:szCs w:val="21"/>
        </w:rPr>
        <w:t xml:space="preserve">Adv. Methods </w:t>
      </w:r>
      <w:proofErr w:type="spellStart"/>
      <w:r>
        <w:rPr>
          <w:rFonts w:ascii="Palatino Regular" w:hAnsi="Palatino Regular" w:cs="Palatino Regular"/>
          <w:i/>
          <w:iCs/>
          <w:color w:val="000000" w:themeColor="text1"/>
          <w:szCs w:val="21"/>
        </w:rPr>
        <w:t>Pract</w:t>
      </w:r>
      <w:proofErr w:type="spellEnd"/>
      <w:r>
        <w:rPr>
          <w:rFonts w:ascii="Palatino Regular" w:hAnsi="Palatino Regular" w:cs="Palatino Regular"/>
          <w:i/>
          <w:iCs/>
          <w:color w:val="000000" w:themeColor="text1"/>
          <w:szCs w:val="21"/>
        </w:rPr>
        <w:t>. Psychol. Sci.</w:t>
      </w:r>
      <w:r>
        <w:rPr>
          <w:rFonts w:ascii="Palatino Regular" w:hAnsi="Palatino Regular" w:cs="Palatino Regular"/>
          <w:color w:val="000000" w:themeColor="text1"/>
          <w:szCs w:val="21"/>
        </w:rPr>
        <w:t xml:space="preserve"> 2023, 6, 25152459231162559.</w:t>
      </w:r>
      <w:bookmarkEnd w:id="16"/>
    </w:p>
    <w:p w14:paraId="27E85E15"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7" w:name="_Ref705914346"/>
      <w:proofErr w:type="spellStart"/>
      <w:r>
        <w:rPr>
          <w:rFonts w:ascii="Palatino Regular" w:hAnsi="Palatino Regular" w:cs="Palatino Regular"/>
          <w:color w:val="000000" w:themeColor="text1"/>
          <w:szCs w:val="21"/>
        </w:rPr>
        <w:t>Battiston</w:t>
      </w:r>
      <w:proofErr w:type="spellEnd"/>
      <w:r>
        <w:rPr>
          <w:rFonts w:ascii="Palatino Regular" w:hAnsi="Palatino Regular" w:cs="Palatino Regular"/>
          <w:color w:val="000000" w:themeColor="text1"/>
          <w:szCs w:val="21"/>
        </w:rPr>
        <w:t xml:space="preserve">, P.; </w:t>
      </w:r>
      <w:proofErr w:type="spellStart"/>
      <w:r>
        <w:rPr>
          <w:rFonts w:ascii="Palatino Regular" w:hAnsi="Palatino Regular" w:cs="Palatino Regular"/>
          <w:color w:val="000000" w:themeColor="text1"/>
          <w:szCs w:val="21"/>
        </w:rPr>
        <w:t>Gamba</w:t>
      </w:r>
      <w:proofErr w:type="spellEnd"/>
      <w:r>
        <w:rPr>
          <w:rFonts w:ascii="Palatino Regular" w:hAnsi="Palatino Regular" w:cs="Palatino Regular"/>
          <w:color w:val="000000" w:themeColor="text1"/>
          <w:szCs w:val="21"/>
        </w:rPr>
        <w:t>, S.; Santoro, A. Mac</w:t>
      </w:r>
      <w:r>
        <w:rPr>
          <w:rFonts w:ascii="Palatino Regular" w:hAnsi="Palatino Regular" w:cs="Palatino Regular"/>
          <w:color w:val="000000" w:themeColor="text1"/>
          <w:szCs w:val="21"/>
        </w:rPr>
        <w:t xml:space="preserve">hine learning and the optimization of prediction-based policies. </w:t>
      </w:r>
      <w:r>
        <w:rPr>
          <w:rFonts w:ascii="Palatino Regular" w:hAnsi="Palatino Regular" w:cs="Palatino Regular"/>
          <w:i/>
          <w:iCs/>
          <w:color w:val="000000" w:themeColor="text1"/>
          <w:szCs w:val="21"/>
        </w:rPr>
        <w:t>Technol. Forecast. Soc. Change</w:t>
      </w:r>
      <w:r>
        <w:rPr>
          <w:rFonts w:ascii="Palatino Regular" w:hAnsi="Palatino Regular" w:cs="Palatino Regular"/>
          <w:color w:val="000000" w:themeColor="text1"/>
          <w:szCs w:val="21"/>
        </w:rPr>
        <w:t xml:space="preserve"> 2024, 199, 123080.</w:t>
      </w:r>
      <w:bookmarkEnd w:id="17"/>
    </w:p>
    <w:p w14:paraId="186E0135"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8" w:name="_Ref706334521"/>
      <w:r>
        <w:rPr>
          <w:rFonts w:ascii="Palatino Regular" w:hAnsi="Palatino Regular" w:cs="Palatino Regular"/>
          <w:color w:val="000000" w:themeColor="text1"/>
          <w:szCs w:val="21"/>
        </w:rPr>
        <w:t xml:space="preserve">Uddin, M.G.; Nash, S.; </w:t>
      </w:r>
      <w:proofErr w:type="spellStart"/>
      <w:r>
        <w:rPr>
          <w:rFonts w:ascii="Palatino Regular" w:hAnsi="Palatino Regular" w:cs="Palatino Regular"/>
          <w:color w:val="000000" w:themeColor="text1"/>
          <w:szCs w:val="21"/>
        </w:rPr>
        <w:t>Diganta</w:t>
      </w:r>
      <w:proofErr w:type="spellEnd"/>
      <w:r>
        <w:rPr>
          <w:rFonts w:ascii="Palatino Regular" w:hAnsi="Palatino Regular" w:cs="Palatino Regular"/>
          <w:color w:val="000000" w:themeColor="text1"/>
          <w:szCs w:val="21"/>
        </w:rPr>
        <w:t xml:space="preserve">, M.T.M.; Rahman, A.; </w:t>
      </w:r>
      <w:proofErr w:type="spellStart"/>
      <w:r>
        <w:rPr>
          <w:rFonts w:ascii="Palatino Regular" w:hAnsi="Palatino Regular" w:cs="Palatino Regular"/>
          <w:color w:val="000000" w:themeColor="text1"/>
          <w:szCs w:val="21"/>
        </w:rPr>
        <w:t>Olbert</w:t>
      </w:r>
      <w:proofErr w:type="spellEnd"/>
      <w:r>
        <w:rPr>
          <w:rFonts w:ascii="Palatino Regular" w:hAnsi="Palatino Regular" w:cs="Palatino Regular"/>
          <w:color w:val="000000" w:themeColor="text1"/>
          <w:szCs w:val="21"/>
        </w:rPr>
        <w:t>, A.I. Robust machine learning algorithms for predicting coastal water quality inde</w:t>
      </w:r>
      <w:r>
        <w:rPr>
          <w:rFonts w:ascii="Palatino Regular" w:hAnsi="Palatino Regular" w:cs="Palatino Regular"/>
          <w:color w:val="000000" w:themeColor="text1"/>
          <w:szCs w:val="21"/>
        </w:rPr>
        <w:t xml:space="preserve">x. </w:t>
      </w:r>
      <w:r>
        <w:rPr>
          <w:rFonts w:ascii="Palatino Regular" w:hAnsi="Palatino Regular" w:cs="Palatino Regular"/>
          <w:i/>
          <w:iCs/>
          <w:color w:val="000000" w:themeColor="text1"/>
          <w:szCs w:val="21"/>
        </w:rPr>
        <w:t xml:space="preserve">J. Environ.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color w:val="000000" w:themeColor="text1"/>
          <w:szCs w:val="21"/>
        </w:rPr>
        <w:t>. 2022, 321, 115923.</w:t>
      </w:r>
      <w:bookmarkEnd w:id="18"/>
    </w:p>
    <w:p w14:paraId="4F30FCDC"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19" w:name="_Ref706922766"/>
      <w:proofErr w:type="spellStart"/>
      <w:r>
        <w:rPr>
          <w:rFonts w:ascii="Palatino Regular" w:hAnsi="Palatino Regular" w:cs="Palatino Regular"/>
          <w:color w:val="000000" w:themeColor="text1"/>
          <w:szCs w:val="21"/>
        </w:rPr>
        <w:t>Ağbulut</w:t>
      </w:r>
      <w:proofErr w:type="spellEnd"/>
      <w:r>
        <w:rPr>
          <w:rFonts w:ascii="Palatino Regular" w:hAnsi="Palatino Regular" w:cs="Palatino Regular"/>
          <w:color w:val="000000" w:themeColor="text1"/>
          <w:szCs w:val="21"/>
        </w:rPr>
        <w:t xml:space="preserve">, Ü. Forecasting of transportation-related energy demand and CO2 emissions in Turkey with different machine learning algorithms. </w:t>
      </w:r>
      <w:r>
        <w:rPr>
          <w:rFonts w:ascii="Palatino Regular" w:hAnsi="Palatino Regular" w:cs="Palatino Regular"/>
          <w:i/>
          <w:iCs/>
          <w:color w:val="000000" w:themeColor="text1"/>
          <w:szCs w:val="21"/>
        </w:rPr>
        <w:t xml:space="preserve">Sustain. Prod. </w:t>
      </w:r>
      <w:proofErr w:type="spellStart"/>
      <w:r>
        <w:rPr>
          <w:rFonts w:ascii="Palatino Regular" w:hAnsi="Palatino Regular" w:cs="Palatino Regular"/>
          <w:i/>
          <w:iCs/>
          <w:color w:val="000000" w:themeColor="text1"/>
          <w:szCs w:val="21"/>
        </w:rPr>
        <w:t>Consum</w:t>
      </w:r>
      <w:proofErr w:type="spellEnd"/>
      <w:r>
        <w:rPr>
          <w:rFonts w:ascii="Palatino Regular" w:hAnsi="Palatino Regular" w:cs="Palatino Regular"/>
          <w:color w:val="000000" w:themeColor="text1"/>
          <w:szCs w:val="21"/>
        </w:rPr>
        <w:t>. 2022, 29, 141-157.</w:t>
      </w:r>
      <w:bookmarkEnd w:id="19"/>
    </w:p>
    <w:p w14:paraId="25615D03"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0" w:name="_Ref707611853"/>
      <w:r>
        <w:rPr>
          <w:rFonts w:ascii="Palatino Regular" w:hAnsi="Palatino Regular" w:cs="Palatino Regular"/>
          <w:color w:val="000000" w:themeColor="text1"/>
          <w:szCs w:val="21"/>
        </w:rPr>
        <w:t>Patel, P.C.; João Guedes, M.; Pagano,</w:t>
      </w:r>
      <w:r>
        <w:rPr>
          <w:rFonts w:ascii="Palatino Regular" w:hAnsi="Palatino Regular" w:cs="Palatino Regular"/>
          <w:color w:val="000000" w:themeColor="text1"/>
          <w:szCs w:val="21"/>
        </w:rPr>
        <w:t xml:space="preserve"> M.S.; Olson, G.T. Industry profitability matters: The value of sustainable growth rate and distance from bankruptcy as enablers of venture survival. </w:t>
      </w:r>
      <w:r>
        <w:rPr>
          <w:rFonts w:ascii="Palatino Regular" w:hAnsi="Palatino Regular" w:cs="Palatino Regular"/>
          <w:i/>
          <w:iCs/>
          <w:color w:val="000000" w:themeColor="text1"/>
          <w:szCs w:val="21"/>
        </w:rPr>
        <w:t>J. Bus. Res.</w:t>
      </w:r>
      <w:r>
        <w:rPr>
          <w:rFonts w:ascii="Palatino Regular" w:hAnsi="Palatino Regular" w:cs="Palatino Regular"/>
          <w:color w:val="000000" w:themeColor="text1"/>
          <w:szCs w:val="21"/>
        </w:rPr>
        <w:t xml:space="preserve"> 2020, 114, 80-92.</w:t>
      </w:r>
      <w:bookmarkEnd w:id="20"/>
    </w:p>
    <w:p w14:paraId="233A14CF"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1" w:name="_Ref707645467"/>
      <w:r>
        <w:rPr>
          <w:rFonts w:ascii="Palatino Regular" w:hAnsi="Palatino Regular" w:cs="Palatino Regular"/>
          <w:color w:val="000000" w:themeColor="text1"/>
          <w:szCs w:val="21"/>
        </w:rPr>
        <w:t xml:space="preserve">Lee, M.T.; </w:t>
      </w:r>
      <w:proofErr w:type="spellStart"/>
      <w:r>
        <w:rPr>
          <w:rFonts w:ascii="Palatino Regular" w:hAnsi="Palatino Regular" w:cs="Palatino Regular"/>
          <w:color w:val="000000" w:themeColor="text1"/>
          <w:szCs w:val="21"/>
        </w:rPr>
        <w:t>Raschke</w:t>
      </w:r>
      <w:proofErr w:type="spellEnd"/>
      <w:r>
        <w:rPr>
          <w:rFonts w:ascii="Palatino Regular" w:hAnsi="Palatino Regular" w:cs="Palatino Regular"/>
          <w:color w:val="000000" w:themeColor="text1"/>
          <w:szCs w:val="21"/>
        </w:rPr>
        <w:t xml:space="preserve">, R.L.; </w:t>
      </w:r>
      <w:proofErr w:type="spellStart"/>
      <w:r>
        <w:rPr>
          <w:rFonts w:ascii="Palatino Regular" w:hAnsi="Palatino Regular" w:cs="Palatino Regular"/>
          <w:color w:val="000000" w:themeColor="text1"/>
          <w:szCs w:val="21"/>
        </w:rPr>
        <w:t>Krishen</w:t>
      </w:r>
      <w:proofErr w:type="spellEnd"/>
      <w:r>
        <w:rPr>
          <w:rFonts w:ascii="Palatino Regular" w:hAnsi="Palatino Regular" w:cs="Palatino Regular"/>
          <w:color w:val="000000" w:themeColor="text1"/>
          <w:szCs w:val="21"/>
        </w:rPr>
        <w:t>, A.S. Understanding ESG scores and firm p</w:t>
      </w:r>
      <w:r>
        <w:rPr>
          <w:rFonts w:ascii="Palatino Regular" w:hAnsi="Palatino Regular" w:cs="Palatino Regular"/>
          <w:color w:val="000000" w:themeColor="text1"/>
          <w:szCs w:val="21"/>
        </w:rPr>
        <w:t xml:space="preserve">erformance: Are high-performing firms E, S, and G-balanced? </w:t>
      </w:r>
      <w:r>
        <w:rPr>
          <w:rFonts w:ascii="Palatino Regular" w:hAnsi="Palatino Regular" w:cs="Palatino Regular"/>
          <w:i/>
          <w:iCs/>
          <w:color w:val="000000" w:themeColor="text1"/>
          <w:szCs w:val="21"/>
        </w:rPr>
        <w:t>Technol. Forecast. Soc. Change</w:t>
      </w:r>
      <w:r>
        <w:rPr>
          <w:rFonts w:ascii="Palatino Regular" w:hAnsi="Palatino Regular" w:cs="Palatino Regular"/>
          <w:color w:val="000000" w:themeColor="text1"/>
          <w:szCs w:val="21"/>
        </w:rPr>
        <w:t xml:space="preserve"> 2023, 195, 122779.</w:t>
      </w:r>
      <w:bookmarkEnd w:id="21"/>
    </w:p>
    <w:p w14:paraId="063CFF14"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2" w:name="_Ref707662274"/>
      <w:r>
        <w:rPr>
          <w:rFonts w:ascii="Palatino Regular" w:hAnsi="Palatino Regular" w:cs="Palatino Regular"/>
          <w:color w:val="000000" w:themeColor="text1"/>
          <w:szCs w:val="21"/>
        </w:rPr>
        <w:t xml:space="preserve">An, S.B.; Yoon, K.C. The effects of changes in financial performance on value creation in digital transformation: a comparison with </w:t>
      </w:r>
      <w:proofErr w:type="spellStart"/>
      <w:r>
        <w:rPr>
          <w:rFonts w:ascii="Palatino Regular" w:hAnsi="Palatino Regular" w:cs="Palatino Regular"/>
          <w:color w:val="000000" w:themeColor="text1"/>
          <w:szCs w:val="21"/>
        </w:rPr>
        <w:t>undigitalized</w:t>
      </w:r>
      <w:proofErr w:type="spellEnd"/>
      <w:r>
        <w:rPr>
          <w:rFonts w:ascii="Palatino Regular" w:hAnsi="Palatino Regular" w:cs="Palatino Regular"/>
          <w:color w:val="000000" w:themeColor="text1"/>
          <w:szCs w:val="21"/>
        </w:rPr>
        <w:t xml:space="preserve"> </w:t>
      </w:r>
      <w:r>
        <w:rPr>
          <w:rFonts w:ascii="Palatino Regular" w:hAnsi="Palatino Regular" w:cs="Palatino Regular"/>
          <w:color w:val="000000" w:themeColor="text1"/>
          <w:szCs w:val="21"/>
        </w:rPr>
        <w:t xml:space="preserve">firms. </w:t>
      </w:r>
      <w:r>
        <w:rPr>
          <w:rFonts w:ascii="Palatino Regular" w:hAnsi="Palatino Regular" w:cs="Palatino Regular"/>
          <w:i/>
          <w:iCs/>
          <w:color w:val="000000" w:themeColor="text1"/>
          <w:szCs w:val="21"/>
        </w:rPr>
        <w:t xml:space="preserve">Sustainability </w:t>
      </w:r>
      <w:r>
        <w:rPr>
          <w:rFonts w:ascii="Palatino Regular" w:hAnsi="Palatino Regular" w:cs="Palatino Regular"/>
          <w:color w:val="000000" w:themeColor="text1"/>
          <w:szCs w:val="21"/>
        </w:rPr>
        <w:t>2023, 15, 2083.</w:t>
      </w:r>
      <w:bookmarkEnd w:id="22"/>
    </w:p>
    <w:p w14:paraId="6D124661"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3" w:name="_Ref708065642"/>
      <w:r>
        <w:rPr>
          <w:rFonts w:ascii="Palatino Regular" w:hAnsi="Palatino Regular" w:cs="Palatino Regular"/>
          <w:color w:val="000000" w:themeColor="text1"/>
          <w:szCs w:val="21"/>
        </w:rPr>
        <w:t>Zhang, Q.; Zheng, Y.; Kong, D. Local Environmental Governance Pressure, Executive's Working Experience and Enterprise Investment in Environmental Protection: A Quasi-natural Experiment Based on China's "Ambient Air Qua</w:t>
      </w:r>
      <w:r>
        <w:rPr>
          <w:rFonts w:ascii="Palatino Regular" w:hAnsi="Palatino Regular" w:cs="Palatino Regular"/>
          <w:color w:val="000000" w:themeColor="text1"/>
          <w:szCs w:val="21"/>
        </w:rPr>
        <w:t xml:space="preserve">lity Standards 2012". </w:t>
      </w:r>
      <w:r>
        <w:rPr>
          <w:rFonts w:ascii="Palatino Regular" w:hAnsi="Palatino Regular" w:cs="Palatino Regular"/>
          <w:i/>
          <w:iCs/>
          <w:color w:val="000000" w:themeColor="text1"/>
          <w:szCs w:val="21"/>
        </w:rPr>
        <w:t xml:space="preserve">Econ. Res. J. </w:t>
      </w:r>
      <w:r>
        <w:rPr>
          <w:rFonts w:ascii="Palatino Regular" w:hAnsi="Palatino Regular" w:cs="Palatino Regular"/>
          <w:color w:val="000000" w:themeColor="text1"/>
          <w:szCs w:val="21"/>
        </w:rPr>
        <w:t>2019, 54, 183-198.</w:t>
      </w:r>
      <w:bookmarkEnd w:id="23"/>
    </w:p>
    <w:p w14:paraId="7122E634"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4" w:name="_Ref708082449"/>
      <w:r>
        <w:rPr>
          <w:rFonts w:ascii="Palatino Regular" w:hAnsi="Palatino Regular" w:cs="Palatino Regular"/>
          <w:color w:val="000000" w:themeColor="text1"/>
          <w:szCs w:val="21"/>
        </w:rPr>
        <w:t xml:space="preserve">Zhao, X.Z.; Zeng, S.Y.; et al. Corporate Behavior and Competitiveness: Impact of Environmental Regulation on Chinese Firms. </w:t>
      </w:r>
      <w:r>
        <w:rPr>
          <w:rFonts w:ascii="Palatino Regular" w:hAnsi="Palatino Regular" w:cs="Palatino Regular"/>
          <w:i/>
          <w:iCs/>
          <w:color w:val="000000" w:themeColor="text1"/>
          <w:szCs w:val="21"/>
        </w:rPr>
        <w:t>J. Clean. Prod.</w:t>
      </w:r>
      <w:r>
        <w:rPr>
          <w:rFonts w:ascii="Palatino Regular" w:hAnsi="Palatino Regular" w:cs="Palatino Regular"/>
          <w:color w:val="000000" w:themeColor="text1"/>
          <w:szCs w:val="21"/>
        </w:rPr>
        <w:t xml:space="preserve"> 2015, 86, 311-322.</w:t>
      </w:r>
      <w:bookmarkEnd w:id="24"/>
    </w:p>
    <w:p w14:paraId="62E6598A"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5" w:name="_Ref708116063"/>
      <w:r>
        <w:rPr>
          <w:rFonts w:ascii="Palatino Regular" w:hAnsi="Palatino Regular" w:cs="Palatino Regular"/>
          <w:color w:val="000000" w:themeColor="text1"/>
          <w:szCs w:val="21"/>
        </w:rPr>
        <w:t>Jiménez-Preciado, A.L.; Martínez-García, M</w:t>
      </w:r>
      <w:r>
        <w:rPr>
          <w:rFonts w:ascii="Palatino Regular" w:hAnsi="Palatino Regular" w:cs="Palatino Regular"/>
          <w:color w:val="000000" w:themeColor="text1"/>
          <w:szCs w:val="21"/>
        </w:rPr>
        <w:t xml:space="preserve">.Á.; Trejo-García, J.C.; et al. Short-and Long-Term Assessments of ESG Risk in Mexican Mortgage Institutions: Combining Expert Surveys, Radar Plot Visualization, and Cluster Analysis. </w:t>
      </w:r>
      <w:r>
        <w:rPr>
          <w:rFonts w:ascii="Palatino Regular" w:hAnsi="Palatino Regular" w:cs="Palatino Regular"/>
          <w:i/>
          <w:iCs/>
          <w:color w:val="000000" w:themeColor="text1"/>
          <w:szCs w:val="21"/>
        </w:rPr>
        <w:t>Sustainability</w:t>
      </w:r>
      <w:r>
        <w:rPr>
          <w:rFonts w:ascii="Palatino Regular" w:hAnsi="Palatino Regular" w:cs="Palatino Regular"/>
          <w:color w:val="000000" w:themeColor="text1"/>
          <w:szCs w:val="21"/>
        </w:rPr>
        <w:t xml:space="preserve"> 2025, 17, 5616.</w:t>
      </w:r>
      <w:bookmarkEnd w:id="25"/>
    </w:p>
    <w:p w14:paraId="3A05FEB1"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6" w:name="_Ref708502624"/>
      <w:r>
        <w:rPr>
          <w:rFonts w:ascii="Palatino Regular" w:hAnsi="Palatino Regular" w:cs="Palatino Regular"/>
          <w:color w:val="000000" w:themeColor="text1"/>
          <w:szCs w:val="21"/>
        </w:rPr>
        <w:t xml:space="preserve">Choi, J. Mitigating the Challenges of Partner Knowledge Diversity While Enhancing Research &amp; Development (R&amp;D) Alliance Performance: The Role of Alliance Governance Mechanisms. </w:t>
      </w:r>
      <w:r>
        <w:rPr>
          <w:rFonts w:ascii="Palatino Regular" w:hAnsi="Palatino Regular" w:cs="Palatino Regular"/>
          <w:i/>
          <w:iCs/>
          <w:color w:val="000000" w:themeColor="text1"/>
          <w:szCs w:val="21"/>
        </w:rPr>
        <w:t xml:space="preserve">J. Prod. </w:t>
      </w:r>
      <w:proofErr w:type="spellStart"/>
      <w:r>
        <w:rPr>
          <w:rFonts w:ascii="Palatino Regular" w:hAnsi="Palatino Regular" w:cs="Palatino Regular"/>
          <w:i/>
          <w:iCs/>
          <w:color w:val="000000" w:themeColor="text1"/>
          <w:szCs w:val="21"/>
        </w:rPr>
        <w:t>Innov</w:t>
      </w:r>
      <w:proofErr w:type="spellEnd"/>
      <w:r>
        <w:rPr>
          <w:rFonts w:ascii="Palatino Regular" w:hAnsi="Palatino Regular" w:cs="Palatino Regular"/>
          <w:i/>
          <w:iCs/>
          <w:color w:val="000000" w:themeColor="text1"/>
          <w:szCs w:val="21"/>
        </w:rPr>
        <w:t xml:space="preserve">.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i/>
          <w:iCs/>
          <w:color w:val="000000" w:themeColor="text1"/>
          <w:szCs w:val="21"/>
        </w:rPr>
        <w:t>.</w:t>
      </w:r>
      <w:r>
        <w:rPr>
          <w:rFonts w:ascii="Palatino Regular" w:hAnsi="Palatino Regular" w:cs="Palatino Regular"/>
          <w:color w:val="000000" w:themeColor="text1"/>
          <w:szCs w:val="21"/>
        </w:rPr>
        <w:t xml:space="preserve"> 2020, 37, 26-47.</w:t>
      </w:r>
      <w:bookmarkEnd w:id="26"/>
    </w:p>
    <w:p w14:paraId="130893EF"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7" w:name="_Ref708737922"/>
      <w:r>
        <w:rPr>
          <w:rFonts w:ascii="Palatino Regular" w:hAnsi="Palatino Regular" w:cs="Palatino Regular"/>
          <w:color w:val="000000" w:themeColor="text1"/>
          <w:szCs w:val="21"/>
        </w:rPr>
        <w:t>Shi, R.; Yin, Q.; Yuan, Y.; Lai, F.; Lu</w:t>
      </w:r>
      <w:r>
        <w:rPr>
          <w:rFonts w:ascii="Palatino Regular" w:hAnsi="Palatino Regular" w:cs="Palatino Regular"/>
          <w:color w:val="000000" w:themeColor="text1"/>
          <w:szCs w:val="21"/>
        </w:rPr>
        <w:t xml:space="preserve">o, X. The impact of supply chain transparency on </w:t>
      </w:r>
      <w:r>
        <w:rPr>
          <w:rFonts w:ascii="Palatino Regular" w:hAnsi="Palatino Regular" w:cs="Palatino Regular"/>
          <w:color w:val="000000" w:themeColor="text1"/>
          <w:szCs w:val="21"/>
        </w:rPr>
        <w:lastRenderedPageBreak/>
        <w:t xml:space="preserve">financing offerings to firms: the moderating role of supply chain concentration. </w:t>
      </w:r>
      <w:r>
        <w:rPr>
          <w:rFonts w:ascii="Palatino Regular" w:hAnsi="Palatino Regular" w:cs="Palatino Regular"/>
          <w:i/>
          <w:iCs/>
          <w:color w:val="000000" w:themeColor="text1"/>
          <w:szCs w:val="21"/>
        </w:rPr>
        <w:t xml:space="preserve">Int. J. </w:t>
      </w:r>
      <w:proofErr w:type="spellStart"/>
      <w:r>
        <w:rPr>
          <w:rFonts w:ascii="Palatino Regular" w:hAnsi="Palatino Regular" w:cs="Palatino Regular"/>
          <w:i/>
          <w:iCs/>
          <w:color w:val="000000" w:themeColor="text1"/>
          <w:szCs w:val="21"/>
        </w:rPr>
        <w:t>Oper</w:t>
      </w:r>
      <w:proofErr w:type="spellEnd"/>
      <w:r>
        <w:rPr>
          <w:rFonts w:ascii="Palatino Regular" w:hAnsi="Palatino Regular" w:cs="Palatino Regular"/>
          <w:i/>
          <w:iCs/>
          <w:color w:val="000000" w:themeColor="text1"/>
          <w:szCs w:val="21"/>
        </w:rPr>
        <w:t xml:space="preserve">. Prod.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i/>
          <w:iCs/>
          <w:color w:val="000000" w:themeColor="text1"/>
          <w:szCs w:val="21"/>
        </w:rPr>
        <w:t xml:space="preserve">. </w:t>
      </w:r>
      <w:r>
        <w:rPr>
          <w:rFonts w:ascii="Palatino Regular" w:hAnsi="Palatino Regular" w:cs="Palatino Regular"/>
          <w:color w:val="000000" w:themeColor="text1"/>
          <w:szCs w:val="21"/>
        </w:rPr>
        <w:t>2024, ahead-of-print.</w:t>
      </w:r>
      <w:bookmarkEnd w:id="27"/>
    </w:p>
    <w:p w14:paraId="4B20042D"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8" w:name="_Ref708771536"/>
      <w:r>
        <w:rPr>
          <w:rFonts w:ascii="Palatino Regular" w:hAnsi="Palatino Regular" w:cs="Palatino Regular"/>
          <w:color w:val="000000" w:themeColor="text1"/>
          <w:szCs w:val="21"/>
        </w:rPr>
        <w:t>He, Q.; Meadows, M.; Angwin, D.; Gomes, E.; Child, J. Strategic Alliance Rese</w:t>
      </w:r>
      <w:r>
        <w:rPr>
          <w:rFonts w:ascii="Palatino Regular" w:hAnsi="Palatino Regular" w:cs="Palatino Regular"/>
          <w:color w:val="000000" w:themeColor="text1"/>
          <w:szCs w:val="21"/>
        </w:rPr>
        <w:t xml:space="preserve">arch in the Era of Digital Transformation: Perspectives on Future Research. </w:t>
      </w:r>
      <w:r>
        <w:rPr>
          <w:rFonts w:ascii="Palatino Regular" w:hAnsi="Palatino Regular" w:cs="Palatino Regular"/>
          <w:i/>
          <w:iCs/>
          <w:color w:val="000000" w:themeColor="text1"/>
          <w:szCs w:val="21"/>
        </w:rPr>
        <w:t xml:space="preserve">Br. J. </w:t>
      </w:r>
      <w:proofErr w:type="spellStart"/>
      <w:r>
        <w:rPr>
          <w:rFonts w:ascii="Palatino Regular" w:hAnsi="Palatino Regular" w:cs="Palatino Regular"/>
          <w:i/>
          <w:iCs/>
          <w:color w:val="000000" w:themeColor="text1"/>
          <w:szCs w:val="21"/>
        </w:rPr>
        <w:t>Manag</w:t>
      </w:r>
      <w:proofErr w:type="spellEnd"/>
      <w:r>
        <w:rPr>
          <w:rFonts w:ascii="Palatino Regular" w:hAnsi="Palatino Regular" w:cs="Palatino Regular"/>
          <w:i/>
          <w:iCs/>
          <w:color w:val="000000" w:themeColor="text1"/>
          <w:szCs w:val="21"/>
        </w:rPr>
        <w:t>.</w:t>
      </w:r>
      <w:r>
        <w:rPr>
          <w:rFonts w:ascii="Palatino Regular" w:hAnsi="Palatino Regular" w:cs="Palatino Regular"/>
          <w:color w:val="000000" w:themeColor="text1"/>
          <w:szCs w:val="21"/>
        </w:rPr>
        <w:t xml:space="preserve"> 2020, 31, 589-617.</w:t>
      </w:r>
      <w:bookmarkEnd w:id="28"/>
    </w:p>
    <w:p w14:paraId="264D0FB6"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29" w:name="_Ref708788343"/>
      <w:r>
        <w:rPr>
          <w:rFonts w:ascii="Palatino Regular" w:hAnsi="Palatino Regular" w:cs="Palatino Regular"/>
          <w:color w:val="000000" w:themeColor="text1"/>
          <w:szCs w:val="21"/>
        </w:rPr>
        <w:t>Wang, Z.; Wang, Q.; Lai, Y.; Liang, C. Drivers and outcomes of supply chain finance adoption: An empirical investigation in China.</w:t>
      </w:r>
      <w:r>
        <w:rPr>
          <w:rFonts w:ascii="Palatino Regular" w:hAnsi="Palatino Regular" w:cs="Palatino Regular"/>
          <w:i/>
          <w:iCs/>
          <w:color w:val="000000" w:themeColor="text1"/>
          <w:szCs w:val="21"/>
        </w:rPr>
        <w:t xml:space="preserve"> Int. J. Prod. Ec</w:t>
      </w:r>
      <w:r>
        <w:rPr>
          <w:rFonts w:ascii="Palatino Regular" w:hAnsi="Palatino Regular" w:cs="Palatino Regular"/>
          <w:i/>
          <w:iCs/>
          <w:color w:val="000000" w:themeColor="text1"/>
          <w:szCs w:val="21"/>
        </w:rPr>
        <w:t>on.</w:t>
      </w:r>
      <w:r>
        <w:rPr>
          <w:rFonts w:ascii="Palatino Regular" w:hAnsi="Palatino Regular" w:cs="Palatino Regular"/>
          <w:color w:val="000000" w:themeColor="text1"/>
          <w:szCs w:val="21"/>
        </w:rPr>
        <w:t xml:space="preserve"> 2020, 220, 107453.</w:t>
      </w:r>
      <w:bookmarkEnd w:id="29"/>
    </w:p>
    <w:p w14:paraId="75607907"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30" w:name="_Ref709208518"/>
      <w:r>
        <w:rPr>
          <w:rFonts w:ascii="Palatino Regular" w:hAnsi="Palatino Regular" w:cs="Palatino Regular"/>
          <w:color w:val="000000" w:themeColor="text1"/>
          <w:szCs w:val="21"/>
        </w:rPr>
        <w:t xml:space="preserve">Chen, X.; Cho, Y.H.T.; Dou, Y.; Lev, B. Predicting Future Earnings Changes Using Machine Learning and Detailed Financial Data. </w:t>
      </w:r>
      <w:r>
        <w:rPr>
          <w:rFonts w:ascii="Palatino Regular" w:hAnsi="Palatino Regular" w:cs="Palatino Regular"/>
          <w:i/>
          <w:iCs/>
          <w:color w:val="000000" w:themeColor="text1"/>
          <w:szCs w:val="21"/>
        </w:rPr>
        <w:t>J. Account. Res.</w:t>
      </w:r>
      <w:r>
        <w:rPr>
          <w:rFonts w:ascii="Palatino Regular" w:hAnsi="Palatino Regular" w:cs="Palatino Regular"/>
          <w:color w:val="000000" w:themeColor="text1"/>
          <w:szCs w:val="21"/>
        </w:rPr>
        <w:t xml:space="preserve"> 2022, 60, 467-515.</w:t>
      </w:r>
      <w:bookmarkEnd w:id="30"/>
    </w:p>
    <w:p w14:paraId="110FFF6D"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31" w:name="_Ref710183324"/>
      <w:proofErr w:type="spellStart"/>
      <w:r>
        <w:rPr>
          <w:rFonts w:ascii="Palatino Regular" w:hAnsi="Palatino Regular" w:cs="Palatino Regular"/>
          <w:color w:val="000000" w:themeColor="text1"/>
          <w:szCs w:val="21"/>
        </w:rPr>
        <w:t>Rezaee</w:t>
      </w:r>
      <w:proofErr w:type="spellEnd"/>
      <w:r>
        <w:rPr>
          <w:rFonts w:ascii="Palatino Regular" w:hAnsi="Palatino Regular" w:cs="Palatino Regular"/>
          <w:color w:val="000000" w:themeColor="text1"/>
          <w:szCs w:val="21"/>
        </w:rPr>
        <w:t xml:space="preserve">, Z.; </w:t>
      </w:r>
      <w:proofErr w:type="spellStart"/>
      <w:r>
        <w:rPr>
          <w:rFonts w:ascii="Palatino Regular" w:hAnsi="Palatino Regular" w:cs="Palatino Regular"/>
          <w:color w:val="000000" w:themeColor="text1"/>
          <w:szCs w:val="21"/>
        </w:rPr>
        <w:t>Tuo</w:t>
      </w:r>
      <w:proofErr w:type="spellEnd"/>
      <w:r>
        <w:rPr>
          <w:rFonts w:ascii="Palatino Regular" w:hAnsi="Palatino Regular" w:cs="Palatino Regular"/>
          <w:color w:val="000000" w:themeColor="text1"/>
          <w:szCs w:val="21"/>
        </w:rPr>
        <w:t>, L. Are the quantity and quality of sustainability dis</w:t>
      </w:r>
      <w:r>
        <w:rPr>
          <w:rFonts w:ascii="Palatino Regular" w:hAnsi="Palatino Regular" w:cs="Palatino Regular"/>
          <w:color w:val="000000" w:themeColor="text1"/>
          <w:szCs w:val="21"/>
        </w:rPr>
        <w:t xml:space="preserve">closures associated with the innate and discretionary earnings quality? </w:t>
      </w:r>
      <w:r>
        <w:rPr>
          <w:rFonts w:ascii="Palatino Regular" w:hAnsi="Palatino Regular" w:cs="Palatino Regular"/>
          <w:i/>
          <w:iCs/>
          <w:color w:val="000000" w:themeColor="text1"/>
          <w:szCs w:val="21"/>
        </w:rPr>
        <w:t xml:space="preserve">J. Bus. Ethics </w:t>
      </w:r>
      <w:r>
        <w:rPr>
          <w:rFonts w:ascii="Palatino Regular" w:hAnsi="Palatino Regular" w:cs="Palatino Regular"/>
          <w:color w:val="000000" w:themeColor="text1"/>
          <w:szCs w:val="21"/>
        </w:rPr>
        <w:t>2019, 155, 763-786.</w:t>
      </w:r>
      <w:bookmarkEnd w:id="31"/>
    </w:p>
    <w:p w14:paraId="2DC6B212"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32" w:name="_Ref710637113"/>
      <w:r>
        <w:rPr>
          <w:rFonts w:ascii="Palatino Regular" w:hAnsi="Palatino Regular" w:cs="Palatino Regular"/>
          <w:color w:val="000000" w:themeColor="text1"/>
          <w:szCs w:val="21"/>
        </w:rPr>
        <w:t>Chen, Z.; Liu, Z.; Suárez Serrato, J.C.; Xu, D.Y. Notching R&amp;D investment with corporate income tax cuts in China.</w:t>
      </w:r>
      <w:r>
        <w:rPr>
          <w:rFonts w:ascii="Palatino Regular" w:hAnsi="Palatino Regular" w:cs="Palatino Regular"/>
          <w:i/>
          <w:iCs/>
          <w:color w:val="000000" w:themeColor="text1"/>
          <w:szCs w:val="21"/>
        </w:rPr>
        <w:t xml:space="preserve"> Am. Econ. Rev.</w:t>
      </w:r>
      <w:r>
        <w:rPr>
          <w:rFonts w:ascii="Palatino Regular" w:hAnsi="Palatino Regular" w:cs="Palatino Regular"/>
          <w:color w:val="000000" w:themeColor="text1"/>
          <w:szCs w:val="21"/>
        </w:rPr>
        <w:t xml:space="preserve"> 2021, 111, 2065-210</w:t>
      </w:r>
      <w:r>
        <w:rPr>
          <w:rFonts w:ascii="Palatino Regular" w:hAnsi="Palatino Regular" w:cs="Palatino Regular"/>
          <w:color w:val="000000" w:themeColor="text1"/>
          <w:szCs w:val="21"/>
        </w:rPr>
        <w:t>0.</w:t>
      </w:r>
      <w:bookmarkEnd w:id="32"/>
    </w:p>
    <w:p w14:paraId="3AAA1C3B" w14:textId="77777777" w:rsidR="00624AAA" w:rsidRDefault="00C46345">
      <w:pPr>
        <w:numPr>
          <w:ilvl w:val="0"/>
          <w:numId w:val="1"/>
        </w:numPr>
        <w:spacing w:line="280" w:lineRule="exact"/>
        <w:rPr>
          <w:rFonts w:ascii="Palatino Regular" w:hAnsi="Palatino Regular" w:cs="Palatino Regular"/>
          <w:color w:val="000000" w:themeColor="text1"/>
          <w:szCs w:val="21"/>
        </w:rPr>
      </w:pPr>
      <w:bookmarkStart w:id="33" w:name="_Ref710939639"/>
      <w:proofErr w:type="spellStart"/>
      <w:r>
        <w:rPr>
          <w:rFonts w:ascii="Palatino Regular" w:hAnsi="Palatino Regular" w:cs="Palatino Regular"/>
          <w:color w:val="000000" w:themeColor="text1"/>
          <w:szCs w:val="21"/>
        </w:rPr>
        <w:t>Kajtazi</w:t>
      </w:r>
      <w:proofErr w:type="spellEnd"/>
      <w:r>
        <w:rPr>
          <w:rFonts w:ascii="Palatino Regular" w:hAnsi="Palatino Regular" w:cs="Palatino Regular"/>
          <w:color w:val="000000" w:themeColor="text1"/>
          <w:szCs w:val="21"/>
        </w:rPr>
        <w:t xml:space="preserve">, K.; </w:t>
      </w:r>
      <w:proofErr w:type="spellStart"/>
      <w:r>
        <w:rPr>
          <w:rFonts w:ascii="Palatino Regular" w:hAnsi="Palatino Regular" w:cs="Palatino Regular"/>
          <w:color w:val="000000" w:themeColor="text1"/>
          <w:szCs w:val="21"/>
        </w:rPr>
        <w:t>Rexhepi</w:t>
      </w:r>
      <w:proofErr w:type="spellEnd"/>
      <w:r>
        <w:rPr>
          <w:rFonts w:ascii="Palatino Regular" w:hAnsi="Palatino Regular" w:cs="Palatino Regular"/>
          <w:color w:val="000000" w:themeColor="text1"/>
          <w:szCs w:val="21"/>
        </w:rPr>
        <w:t>, G.; Sharif, A.; Ozturk, I. Business model innovation and its impact on corporate sustainability.</w:t>
      </w:r>
      <w:r>
        <w:rPr>
          <w:rFonts w:ascii="Palatino Regular" w:hAnsi="Palatino Regular" w:cs="Palatino Regular"/>
          <w:i/>
          <w:iCs/>
          <w:color w:val="000000" w:themeColor="text1"/>
          <w:szCs w:val="21"/>
        </w:rPr>
        <w:t xml:space="preserve"> J. Bus. Res.</w:t>
      </w:r>
      <w:r>
        <w:rPr>
          <w:rFonts w:ascii="Palatino Regular" w:hAnsi="Palatino Regular" w:cs="Palatino Regular"/>
          <w:color w:val="000000" w:themeColor="text1"/>
          <w:szCs w:val="21"/>
        </w:rPr>
        <w:t xml:space="preserve"> 2023, 166, 114082.</w:t>
      </w:r>
      <w:bookmarkEnd w:id="33"/>
    </w:p>
    <w:p w14:paraId="2B09C60C" w14:textId="77777777" w:rsidR="00624AAA" w:rsidRDefault="00624AAA">
      <w:pPr>
        <w:rPr>
          <w:sz w:val="18"/>
          <w:szCs w:val="21"/>
        </w:rPr>
      </w:pPr>
    </w:p>
    <w:p w14:paraId="30FF8032" w14:textId="77777777" w:rsidR="00624AAA" w:rsidRDefault="00624AAA"/>
    <w:p w14:paraId="54E5BCBA" w14:textId="77777777" w:rsidR="00624AAA" w:rsidRDefault="00624AAA"/>
    <w:p w14:paraId="0C861F1D" w14:textId="77777777" w:rsidR="00624AAA" w:rsidRDefault="00624AAA"/>
    <w:p w14:paraId="10645276" w14:textId="77777777" w:rsidR="00624AAA" w:rsidRDefault="00624AAA"/>
    <w:p w14:paraId="73BC31CF" w14:textId="77777777" w:rsidR="00624AAA" w:rsidRDefault="00624AAA">
      <w:pPr>
        <w:spacing w:line="360" w:lineRule="auto"/>
        <w:rPr>
          <w:rFonts w:ascii="Times New Roman" w:hAnsi="Times New Roman" w:cs="Times New Roman"/>
          <w:color w:val="000000" w:themeColor="text1"/>
          <w:sz w:val="24"/>
        </w:rPr>
      </w:pPr>
    </w:p>
    <w:p w14:paraId="15CFD434" w14:textId="77777777" w:rsidR="00624AAA" w:rsidRDefault="00C46345">
      <w:pPr>
        <w:spacing w:line="280" w:lineRule="exact"/>
        <w:rPr>
          <w:rFonts w:ascii="Palatino Linotype" w:eastAsia="Times New Roman" w:hAnsi="Palatino Linotype" w:cs="Times New Roman"/>
          <w:snapToGrid w:val="0"/>
          <w:color w:val="000000"/>
          <w:kern w:val="0"/>
          <w:sz w:val="18"/>
          <w:szCs w:val="20"/>
          <w:lang w:bidi="en-US"/>
        </w:rPr>
      </w:pPr>
      <w:r>
        <w:rPr>
          <w:rFonts w:ascii="Palatino Linotype" w:eastAsia="Times New Roman" w:hAnsi="Palatino Linotype" w:cs="Times New Roman" w:hint="eastAsia"/>
          <w:b/>
          <w:bCs/>
          <w:snapToGrid w:val="0"/>
          <w:color w:val="000000"/>
          <w:kern w:val="0"/>
          <w:sz w:val="18"/>
          <w:szCs w:val="20"/>
          <w:lang w:bidi="en-US"/>
        </w:rPr>
        <w:t xml:space="preserve">Disclaimer/Publisher’s Note: </w:t>
      </w:r>
      <w:r>
        <w:rPr>
          <w:rFonts w:ascii="Palatino Linotype" w:eastAsia="Times New Roman" w:hAnsi="Palatino Linotype" w:cs="Times New Roman" w:hint="eastAsia"/>
          <w:snapToGrid w:val="0"/>
          <w:color w:val="000000"/>
          <w:kern w:val="0"/>
          <w:sz w:val="18"/>
          <w:szCs w:val="20"/>
          <w:lang w:bidi="en-US"/>
        </w:rPr>
        <w:t xml:space="preserve">The statements, opinions and data contained in all </w:t>
      </w:r>
      <w:r>
        <w:rPr>
          <w:rFonts w:ascii="Palatino Linotype" w:eastAsia="Times New Roman" w:hAnsi="Palatino Linotype" w:cs="Times New Roman" w:hint="eastAsia"/>
          <w:snapToGrid w:val="0"/>
          <w:color w:val="000000"/>
          <w:kern w:val="0"/>
          <w:sz w:val="18"/>
          <w:szCs w:val="20"/>
          <w:lang w:bidi="en-US"/>
        </w:rPr>
        <w:t>publications are solely those of the individual author(s) and contributor(s) and not of MDPI and/or the editor(s). MDPI and/or the editor(s) disclaim responsibility for any injury to people or property resulting from any ideas, methods, instructions or pro</w:t>
      </w:r>
      <w:r>
        <w:rPr>
          <w:rFonts w:ascii="Palatino Linotype" w:eastAsia="Times New Roman" w:hAnsi="Palatino Linotype" w:cs="Times New Roman" w:hint="eastAsia"/>
          <w:snapToGrid w:val="0"/>
          <w:color w:val="000000"/>
          <w:kern w:val="0"/>
          <w:sz w:val="18"/>
          <w:szCs w:val="20"/>
          <w:lang w:bidi="en-US"/>
        </w:rPr>
        <w:t>ducts referred to in the content.</w:t>
      </w:r>
    </w:p>
    <w:p w14:paraId="610C880F" w14:textId="77777777" w:rsidR="00624AAA" w:rsidRDefault="00624AAA">
      <w:pPr>
        <w:spacing w:line="280" w:lineRule="exact"/>
        <w:rPr>
          <w:rFonts w:ascii="Palatino Linotype" w:eastAsia="Times New Roman" w:hAnsi="Palatino Linotype" w:cs="Times New Roman"/>
          <w:snapToGrid w:val="0"/>
          <w:color w:val="000000"/>
          <w:kern w:val="0"/>
          <w:sz w:val="18"/>
          <w:szCs w:val="20"/>
          <w:lang w:bidi="en-US"/>
        </w:rPr>
      </w:pPr>
    </w:p>
    <w:sectPr w:rsidR="00624AAA" w:rsidSect="00C46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oefler Text">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jaVu Math TeX Gyre">
    <w:altName w:val="Calibri"/>
    <w:charset w:val="00"/>
    <w:family w:val="auto"/>
    <w:pitch w:val="default"/>
    <w:sig w:usb0="A10000EF" w:usb1="4201F9EE" w:usb2="02000000" w:usb3="00000000" w:csb0="60000193" w:csb1="0DD4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sig w:usb0="E0000AFF" w:usb1="00007843" w:usb2="00000001" w:usb3="00000000" w:csb0="400001BF" w:csb1="DFF70000"/>
  </w:font>
  <w:font w:name="Palatino Regular">
    <w:altName w:val="Segoe UI Historic"/>
    <w:charset w:val="00"/>
    <w:family w:val="auto"/>
    <w:pitch w:val="default"/>
    <w:sig w:usb0="A00002FF" w:usb1="7800205A" w:usb2="14600000" w:usb3="00000000" w:csb0="20000193" w:csb1="4D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D8F14"/>
    <w:multiLevelType w:val="singleLevel"/>
    <w:tmpl w:val="4BFD8F1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rxraatsa2xv2exfvg5p9vw2t9f0ersdsxz&quot;&gt;My EndNote Library&lt;record-ids&gt;&lt;item&gt;547&lt;/item&gt;&lt;item&gt;1271&lt;/item&gt;&lt;item&gt;2186&lt;/item&gt;&lt;item&gt;10817&lt;/item&gt;&lt;item&gt;10818&lt;/item&gt;&lt;item&gt;10819&lt;/item&gt;&lt;item&gt;10820&lt;/item&gt;&lt;item&gt;10822&lt;/item&gt;&lt;item&gt;10825&lt;/item&gt;&lt;item&gt;10826&lt;/item&gt;&lt;item&gt;10827&lt;/item&gt;&lt;item&gt;10844&lt;/item&gt;&lt;item&gt;10845&lt;/item&gt;&lt;item&gt;10846&lt;/item&gt;&lt;item&gt;10854&lt;/item&gt;&lt;item&gt;10855&lt;/item&gt;&lt;item&gt;10857&lt;/item&gt;&lt;item&gt;10940&lt;/item&gt;&lt;item&gt;10943&lt;/item&gt;&lt;item&gt;10963&lt;/item&gt;&lt;item&gt;10965&lt;/item&gt;&lt;item&gt;10969&lt;/item&gt;&lt;item&gt;10971&lt;/item&gt;&lt;item&gt;10975&lt;/item&gt;&lt;item&gt;10979&lt;/item&gt;&lt;item&gt;10985&lt;/item&gt;&lt;item&gt;10989&lt;/item&gt;&lt;item&gt;10991&lt;/item&gt;&lt;item&gt;10995&lt;/item&gt;&lt;/record-ids&gt;&lt;/item&gt;&lt;/Libraries&gt;"/>
  </w:docVars>
  <w:rsids>
    <w:rsidRoot w:val="FFD95B63"/>
    <w:rsid w:val="D9E7F35E"/>
    <w:rsid w:val="DF7F0432"/>
    <w:rsid w:val="E5BFC3AA"/>
    <w:rsid w:val="E9E485DA"/>
    <w:rsid w:val="F6BC9A3A"/>
    <w:rsid w:val="F7CEE6E8"/>
    <w:rsid w:val="FD6F1309"/>
    <w:rsid w:val="FD99360C"/>
    <w:rsid w:val="FF973CAA"/>
    <w:rsid w:val="FFA763B4"/>
    <w:rsid w:val="FFD95B63"/>
    <w:rsid w:val="FFF35485"/>
    <w:rsid w:val="FFFDEEB5"/>
    <w:rsid w:val="00624AAA"/>
    <w:rsid w:val="00C46345"/>
    <w:rsid w:val="0CD16B2C"/>
    <w:rsid w:val="18356139"/>
    <w:rsid w:val="18C074CC"/>
    <w:rsid w:val="1B9A5695"/>
    <w:rsid w:val="25C715E0"/>
    <w:rsid w:val="2FDF3D57"/>
    <w:rsid w:val="3EF395F9"/>
    <w:rsid w:val="3FEB0E52"/>
    <w:rsid w:val="3FFD8CA6"/>
    <w:rsid w:val="46761FE2"/>
    <w:rsid w:val="4BB6F3D5"/>
    <w:rsid w:val="5FDD6F7B"/>
    <w:rsid w:val="6EF413AE"/>
    <w:rsid w:val="72F684BB"/>
    <w:rsid w:val="7DEF1E8F"/>
    <w:rsid w:val="7FDA09BB"/>
    <w:rsid w:val="9AFE1C91"/>
    <w:rsid w:val="9FFF42C9"/>
    <w:rsid w:val="BF762E12"/>
    <w:rsid w:val="BF7E2806"/>
    <w:rsid w:val="C2D9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715D2"/>
  <w15:docId w15:val="{5EDD45EE-F1F5-4A3D-A454-529E0F7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Hoefler Text" w:eastAsia="Hoefler Text" w:hAnsi="Hoefler Text" w:cs="Hoefler Text"/>
      <w:sz w:val="20"/>
      <w:szCs w:val="20"/>
      <w:lang w:eastAsia="en-US"/>
    </w:rPr>
  </w:style>
  <w:style w:type="paragraph" w:styleId="Header">
    <w:name w:val="header"/>
    <w:basedOn w:val="Normal"/>
    <w:uiPriority w:val="99"/>
    <w:qFormat/>
    <w:pPr>
      <w:pBdr>
        <w:bottom w:val="single" w:sz="6" w:space="1" w:color="auto"/>
      </w:pBdr>
      <w:tabs>
        <w:tab w:val="center" w:pos="4153"/>
        <w:tab w:val="right" w:pos="8306"/>
      </w:tabs>
      <w:snapToGrid w:val="0"/>
      <w:spacing w:line="240" w:lineRule="atLeast"/>
      <w:jc w:val="center"/>
    </w:pPr>
    <w:rPr>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NormalWeb">
    <w:name w:val="Normal (Web)"/>
    <w:basedOn w:val="Normal"/>
    <w:qFormat/>
    <w:pPr>
      <w:spacing w:before="100" w:beforeAutospacing="1" w:after="100"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rPr>
  </w:style>
  <w:style w:type="character" w:styleId="Hyperlink">
    <w:name w:val="Hyperlink"/>
    <w:uiPriority w:val="99"/>
    <w:qFormat/>
    <w:rPr>
      <w:color w:val="0000FF"/>
      <w:u w:val="single"/>
    </w:rPr>
  </w:style>
  <w:style w:type="paragraph" w:customStyle="1" w:styleId="1">
    <w:name w:val="正文文本1"/>
    <w:basedOn w:val="Normal"/>
    <w:qFormat/>
    <w:pPr>
      <w:spacing w:line="360" w:lineRule="auto"/>
      <w:ind w:firstLine="400"/>
    </w:pPr>
    <w:rPr>
      <w:rFonts w:ascii="SimSun" w:eastAsia="SimSun" w:hAnsi="SimSun" w:cs="SimSun"/>
      <w:sz w:val="20"/>
      <w:szCs w:val="20"/>
    </w:rPr>
  </w:style>
  <w:style w:type="paragraph" w:customStyle="1" w:styleId="a">
    <w:name w:val="表格标题"/>
    <w:basedOn w:val="Normal"/>
    <w:qFormat/>
    <w:rPr>
      <w:rFonts w:ascii="SimSun" w:eastAsia="SimSun" w:hAnsi="SimSun" w:cs="SimSun"/>
      <w:sz w:val="20"/>
      <w:szCs w:val="20"/>
    </w:rPr>
  </w:style>
  <w:style w:type="paragraph" w:customStyle="1" w:styleId="EndNoteBibliographyTitle">
    <w:name w:val="EndNote Bibliography Title"/>
    <w:qFormat/>
    <w:pPr>
      <w:jc w:val="center"/>
    </w:pPr>
    <w:rPr>
      <w:rFonts w:ascii="Calibri" w:eastAsiaTheme="minorEastAsia" w:hAnsi="Calibri" w:cs="Calibri"/>
      <w:kern w:val="2"/>
      <w:szCs w:val="24"/>
      <w:lang w:eastAsia="zh-CN"/>
    </w:rPr>
  </w:style>
  <w:style w:type="paragraph" w:customStyle="1" w:styleId="EndNoteBibliography">
    <w:name w:val="EndNote Bibliography"/>
    <w:qFormat/>
    <w:pPr>
      <w:jc w:val="both"/>
    </w:pPr>
    <w:rPr>
      <w:rFonts w:ascii="Calibri" w:eastAsiaTheme="minorEastAsia" w:hAnsi="Calibri" w:cs="Calibri"/>
      <w:kern w:val="2"/>
      <w:szCs w:val="24"/>
      <w:lang w:eastAsia="zh-CN"/>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7abstract">
    <w:name w:val="MDPI_1.7_abstract"/>
    <w:next w:val="Normal"/>
    <w:qFormat/>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1heading1">
    <w:name w:val="MDPI_2.1_heading1"/>
    <w:qFormat/>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pPr>
      <w:adjustRightInd w:val="0"/>
      <w:snapToGrid w:val="0"/>
      <w:spacing w:before="60" w:after="60" w:line="280" w:lineRule="atLeast"/>
      <w:ind w:left="2608"/>
      <w:outlineLvl w:val="1"/>
    </w:pPr>
    <w:rPr>
      <w:rFonts w:ascii="Palatino Linotype" w:eastAsia="Times New Roman" w:hAnsi="Palatino Linotype"/>
      <w:i/>
      <w:snapToGrid w:val="0"/>
      <w:color w:val="000000"/>
      <w:szCs w:val="22"/>
      <w:lang w:eastAsia="de-DE" w:bidi="en-US"/>
    </w:rPr>
  </w:style>
  <w:style w:type="paragraph" w:customStyle="1" w:styleId="MDPI23heading3">
    <w:name w:val="MDPI_2.3_heading3"/>
    <w:qFormat/>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63notes">
    <w:name w:val="MDPI_6.3_notes"/>
    <w:qFormat/>
    <w:pPr>
      <w:adjustRightInd w:val="0"/>
      <w:snapToGrid w:val="0"/>
      <w:spacing w:before="240" w:line="280" w:lineRule="atLeast"/>
      <w:jc w:val="both"/>
    </w:pPr>
    <w:rPr>
      <w:rFonts w:ascii="Palatino Linotype" w:hAnsi="Palatino Linotype"/>
      <w:snapToGrid w:val="0"/>
      <w:color w:val="000000"/>
      <w:sz w:val="18"/>
      <w:lang w:bidi="en-US"/>
    </w:rPr>
  </w:style>
  <w:style w:type="paragraph" w:customStyle="1" w:styleId="MDPI62backmatter">
    <w:name w:val="MDPI_6.2_back_matter"/>
    <w:qFormat/>
    <w:pPr>
      <w:adjustRightInd w:val="0"/>
      <w:snapToGrid w:val="0"/>
      <w:spacing w:after="120" w:line="280" w:lineRule="atLeast"/>
      <w:ind w:left="2608"/>
      <w:jc w:val="both"/>
    </w:pPr>
    <w:rPr>
      <w:rFonts w:ascii="Palatino Linotype" w:eastAsia="Times New Roman" w:hAnsi="Palatino Linotype"/>
      <w:snapToGrid w:val="0"/>
      <w:color w:val="000000"/>
      <w:sz w:val="18"/>
      <w:lang w:bidi="en-US"/>
    </w:rPr>
  </w:style>
  <w:style w:type="character" w:styleId="LineNumber">
    <w:name w:val="line number"/>
    <w:basedOn w:val="DefaultParagraphFont"/>
    <w:rsid w:val="00C4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xhx19931011@163.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9004</Words>
  <Characters>51329</Characters>
  <Application>Microsoft Office Word</Application>
  <DocSecurity>0</DocSecurity>
  <Lines>427</Lines>
  <Paragraphs>120</Paragraphs>
  <ScaleCrop>false</ScaleCrop>
  <Company/>
  <LinksUpToDate>false</LinksUpToDate>
  <CharactersWithSpaces>60213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随时如颖</dc:creator>
  <cp:lastModifiedBy>Hp</cp:lastModifiedBy>
  <cp:revision>2</cp:revision>
  <dcterms:created xsi:type="dcterms:W3CDTF">2025-12-01T17:22:00Z</dcterms:created>
  <dcterms:modified xsi:type="dcterms:W3CDTF">2025-12-01T17:22:00Z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35333B828F247C05608D1569BB10DA55_43</vt:lpwstr>
  </property>
  <property fmtid="{D5CDD505-2E9C-101B-9397-08002B2CF9AE}" pid="4" name="KSOTemplateDocerSaveRecord">
    <vt:lpwstr>eyJoZGlkIjoiZGM3MTdmMzA3ZjAzMDBhOWQ2YTA4ZWI5Y2Q2MTJhMjIiLCJ1c2VySWQiOiIzNjg2ODA3OTcifQ==</vt:lpwstr>
  </property>
</Properties>
</file>